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E15E">
      <w:pPr>
        <w:spacing w:line="276" w:lineRule="auto"/>
        <w:jc w:val="center"/>
        <w:rPr>
          <w:rFonts w:ascii="仿宋" w:hAnsi="仿宋" w:eastAsia="仿宋" w:cs="Times New Roman"/>
          <w:b/>
          <w:color w:val="000000"/>
          <w:w w:val="80"/>
          <w:sz w:val="72"/>
          <w:szCs w:val="72"/>
          <w:highlight w:val="yellow"/>
        </w:rPr>
      </w:pPr>
      <w:bookmarkStart w:id="0" w:name="_Hlk24613880"/>
    </w:p>
    <w:p w14:paraId="514206E1">
      <w:pPr>
        <w:spacing w:line="276" w:lineRule="auto"/>
        <w:jc w:val="center"/>
        <w:rPr>
          <w:rFonts w:ascii="仿宋" w:hAnsi="仿宋" w:eastAsia="仿宋" w:cs="Times New Roman"/>
          <w:b/>
          <w:color w:val="000000"/>
          <w:w w:val="80"/>
          <w:sz w:val="72"/>
          <w:szCs w:val="72"/>
          <w:highlight w:val="yellow"/>
        </w:rPr>
      </w:pPr>
    </w:p>
    <w:p w14:paraId="60861A32">
      <w:pPr>
        <w:spacing w:line="276" w:lineRule="auto"/>
        <w:jc w:val="center"/>
        <w:rPr>
          <w:rFonts w:ascii="仿宋" w:hAnsi="仿宋" w:eastAsia="仿宋" w:cs="Times New Roman"/>
          <w:b/>
          <w:color w:val="000000"/>
          <w:w w:val="80"/>
          <w:sz w:val="72"/>
          <w:szCs w:val="72"/>
          <w:highlight w:val="yellow"/>
        </w:rPr>
      </w:pPr>
    </w:p>
    <w:p w14:paraId="5FEE6C79">
      <w:pPr>
        <w:spacing w:line="276" w:lineRule="auto"/>
        <w:jc w:val="center"/>
        <w:rPr>
          <w:rFonts w:hint="eastAsia" w:ascii="仿宋" w:hAnsi="仿宋" w:eastAsia="仿宋" w:cs="Times New Roman"/>
          <w:b/>
          <w:color w:val="000000"/>
          <w:w w:val="80"/>
          <w:sz w:val="64"/>
          <w:szCs w:val="64"/>
          <w:highlight w:val="yellow"/>
          <w:lang w:eastAsia="zh-CN"/>
        </w:rPr>
      </w:pPr>
      <w:r>
        <w:rPr>
          <w:rFonts w:hint="eastAsia" w:ascii="仿宋" w:hAnsi="仿宋" w:eastAsia="仿宋" w:cs="Times New Roman"/>
          <w:b/>
          <w:color w:val="000000"/>
          <w:w w:val="80"/>
          <w:sz w:val="64"/>
          <w:szCs w:val="64"/>
          <w:highlight w:val="none"/>
          <w:lang w:eastAsia="zh-CN"/>
        </w:rPr>
        <w:t>杭州星点包装材料有限公司</w:t>
      </w:r>
    </w:p>
    <w:p w14:paraId="7941B2F4">
      <w:pPr>
        <w:spacing w:line="276" w:lineRule="auto"/>
        <w:jc w:val="center"/>
        <w:rPr>
          <w:rFonts w:ascii="宋体" w:hAnsi="宋体" w:eastAsia="宋体" w:cs="宋体"/>
          <w:b/>
          <w:sz w:val="52"/>
          <w:szCs w:val="52"/>
        </w:rPr>
      </w:pPr>
      <w:r>
        <w:rPr>
          <w:rFonts w:hint="eastAsia" w:ascii="宋体" w:hAnsi="宋体" w:eastAsia="宋体" w:cs="宋体"/>
          <w:b/>
          <w:sz w:val="52"/>
          <w:szCs w:val="52"/>
        </w:rPr>
        <w:t xml:space="preserve"> </w:t>
      </w:r>
    </w:p>
    <w:p w14:paraId="7619D9F2">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质</w:t>
      </w:r>
    </w:p>
    <w:p w14:paraId="3DC57203">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量</w:t>
      </w:r>
    </w:p>
    <w:p w14:paraId="7C411B4F">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诚</w:t>
      </w:r>
    </w:p>
    <w:p w14:paraId="0E8199F7">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信</w:t>
      </w:r>
    </w:p>
    <w:p w14:paraId="313A734B">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报</w:t>
      </w:r>
    </w:p>
    <w:p w14:paraId="522AEDCA">
      <w:pPr>
        <w:spacing w:line="276" w:lineRule="auto"/>
        <w:jc w:val="center"/>
        <w:rPr>
          <w:rFonts w:cs="宋体" w:asciiTheme="majorEastAsia" w:hAnsiTheme="majorEastAsia" w:eastAsiaTheme="majorEastAsia"/>
          <w:b/>
          <w:sz w:val="52"/>
          <w:szCs w:val="52"/>
        </w:rPr>
      </w:pPr>
      <w:r>
        <w:rPr>
          <w:rFonts w:hint="eastAsia" w:cs="宋体" w:asciiTheme="majorEastAsia" w:hAnsiTheme="majorEastAsia" w:eastAsiaTheme="majorEastAsia"/>
          <w:b/>
          <w:sz w:val="52"/>
          <w:szCs w:val="52"/>
        </w:rPr>
        <w:t>告</w:t>
      </w:r>
    </w:p>
    <w:p w14:paraId="3F9C086D">
      <w:pPr>
        <w:spacing w:line="276" w:lineRule="auto"/>
        <w:ind w:firstLine="3900" w:firstLineChars="750"/>
        <w:rPr>
          <w:rFonts w:ascii="宋体" w:hAnsi="宋体" w:eastAsia="宋体" w:cs="宋体"/>
          <w:sz w:val="52"/>
          <w:szCs w:val="52"/>
        </w:rPr>
      </w:pPr>
    </w:p>
    <w:p w14:paraId="37134C69">
      <w:pPr>
        <w:spacing w:line="276" w:lineRule="auto"/>
        <w:ind w:firstLine="3900" w:firstLineChars="750"/>
        <w:rPr>
          <w:rFonts w:ascii="宋体" w:hAnsi="宋体" w:eastAsia="宋体" w:cs="宋体"/>
          <w:sz w:val="52"/>
          <w:szCs w:val="52"/>
        </w:rPr>
      </w:pPr>
    </w:p>
    <w:p w14:paraId="51872CF9">
      <w:pPr>
        <w:spacing w:before="40" w:after="40" w:line="276" w:lineRule="auto"/>
        <w:jc w:val="center"/>
        <w:rPr>
          <w:rFonts w:ascii="宋体" w:hAnsi="宋体" w:eastAsia="宋体" w:cs="宋体"/>
          <w:sz w:val="36"/>
          <w:szCs w:val="36"/>
        </w:rPr>
      </w:pPr>
      <w:r>
        <w:rPr>
          <w:rFonts w:hint="eastAsia" w:ascii="宋体" w:hAnsi="宋体" w:eastAsia="宋体" w:cs="宋体"/>
          <w:sz w:val="36"/>
          <w:szCs w:val="36"/>
        </w:rPr>
        <w:t>报告日期：</w:t>
      </w:r>
      <w:r>
        <w:rPr>
          <w:rFonts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highlight w:val="none"/>
          <w:lang w:val="en-US" w:eastAsia="zh-CN"/>
        </w:rPr>
        <w:t>12</w:t>
      </w:r>
      <w:r>
        <w:rPr>
          <w:rFonts w:hint="eastAsia" w:ascii="宋体" w:hAnsi="宋体" w:eastAsia="宋体" w:cs="宋体"/>
          <w:sz w:val="36"/>
          <w:szCs w:val="36"/>
        </w:rPr>
        <w:t>月</w:t>
      </w:r>
    </w:p>
    <w:bookmarkEnd w:id="0"/>
    <w:p w14:paraId="5E991136">
      <w:pPr>
        <w:spacing w:before="40" w:after="40" w:line="276" w:lineRule="auto"/>
        <w:jc w:val="center"/>
        <w:rPr>
          <w:rFonts w:ascii="宋体" w:hAnsi="宋体" w:eastAsia="宋体" w:cs="宋体"/>
          <w:sz w:val="36"/>
          <w:szCs w:val="36"/>
        </w:rPr>
      </w:pPr>
    </w:p>
    <w:sdt>
      <w:sdtPr>
        <w:rPr>
          <w:rFonts w:ascii="宋体" w:hAnsi="宋体" w:eastAsia="宋体"/>
          <w:b/>
          <w:bCs/>
          <w:sz w:val="36"/>
          <w:szCs w:val="36"/>
        </w:rPr>
        <w:id w:val="147479737"/>
        <w:docPartObj>
          <w:docPartGallery w:val="Table of Contents"/>
          <w:docPartUnique/>
        </w:docPartObj>
      </w:sdtPr>
      <w:sdtEndPr>
        <w:rPr>
          <w:rFonts w:ascii="宋体" w:hAnsi="宋体" w:eastAsia="宋体" w:cs="宋体"/>
          <w:b/>
          <w:bCs/>
          <w:sz w:val="21"/>
          <w:szCs w:val="36"/>
        </w:rPr>
      </w:sdtEndPr>
      <w:sdtContent>
        <w:p w14:paraId="2422CADF">
          <w:pPr>
            <w:jc w:val="center"/>
            <w:rPr>
              <w:b/>
              <w:bCs/>
              <w:sz w:val="36"/>
              <w:szCs w:val="36"/>
            </w:rPr>
          </w:pPr>
          <w:r>
            <w:rPr>
              <w:rFonts w:ascii="宋体" w:hAnsi="宋体" w:eastAsia="宋体"/>
              <w:b/>
              <w:bCs/>
              <w:sz w:val="36"/>
              <w:szCs w:val="36"/>
            </w:rPr>
            <w:t>目录</w:t>
          </w:r>
        </w:p>
        <w:p w14:paraId="02CD32C6">
          <w:pPr>
            <w:pStyle w:val="29"/>
            <w:tabs>
              <w:tab w:val="right" w:leader="dot" w:pos="8306"/>
            </w:tabs>
            <w:spacing w:line="360" w:lineRule="auto"/>
            <w:rPr>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TOC \o "1-2" \h \u </w:instrText>
          </w:r>
          <w:r>
            <w:rPr>
              <w:rFonts w:ascii="宋体" w:hAnsi="宋体" w:eastAsia="宋体" w:cs="宋体"/>
              <w:sz w:val="24"/>
              <w:szCs w:val="24"/>
            </w:rPr>
            <w:fldChar w:fldCharType="separate"/>
          </w:r>
          <w:r>
            <w:fldChar w:fldCharType="begin"/>
          </w:r>
          <w:r>
            <w:instrText xml:space="preserve"> HYPERLINK \l "_Toc16600" </w:instrText>
          </w:r>
          <w:r>
            <w:fldChar w:fldCharType="separate"/>
          </w:r>
          <w:r>
            <w:rPr>
              <w:rFonts w:hint="eastAsia" w:cs="Times New Roman" w:asciiTheme="minorEastAsia" w:hAnsiTheme="minorEastAsia"/>
              <w:kern w:val="0"/>
              <w:sz w:val="24"/>
              <w:szCs w:val="24"/>
            </w:rPr>
            <w:t>一、前  言</w:t>
          </w:r>
          <w:r>
            <w:rPr>
              <w:sz w:val="24"/>
              <w:szCs w:val="24"/>
            </w:rPr>
            <w:tab/>
          </w:r>
          <w:r>
            <w:rPr>
              <w:sz w:val="24"/>
              <w:szCs w:val="24"/>
            </w:rPr>
            <w:fldChar w:fldCharType="begin"/>
          </w:r>
          <w:r>
            <w:rPr>
              <w:sz w:val="24"/>
              <w:szCs w:val="24"/>
            </w:rPr>
            <w:instrText xml:space="preserve"> PAGEREF _Toc16600 </w:instrText>
          </w:r>
          <w:r>
            <w:rPr>
              <w:sz w:val="24"/>
              <w:szCs w:val="24"/>
            </w:rPr>
            <w:fldChar w:fldCharType="separate"/>
          </w:r>
          <w:r>
            <w:rPr>
              <w:sz w:val="24"/>
              <w:szCs w:val="24"/>
            </w:rPr>
            <w:t>3</w:t>
          </w:r>
          <w:r>
            <w:rPr>
              <w:sz w:val="24"/>
              <w:szCs w:val="24"/>
            </w:rPr>
            <w:fldChar w:fldCharType="end"/>
          </w:r>
          <w:r>
            <w:rPr>
              <w:sz w:val="24"/>
              <w:szCs w:val="24"/>
            </w:rPr>
            <w:fldChar w:fldCharType="end"/>
          </w:r>
        </w:p>
        <w:p w14:paraId="03D7B84B">
          <w:pPr>
            <w:pStyle w:val="32"/>
            <w:tabs>
              <w:tab w:val="right" w:leader="dot" w:pos="8306"/>
            </w:tabs>
            <w:spacing w:line="360" w:lineRule="auto"/>
            <w:rPr>
              <w:sz w:val="24"/>
              <w:szCs w:val="24"/>
            </w:rPr>
          </w:pPr>
          <w:r>
            <w:fldChar w:fldCharType="begin"/>
          </w:r>
          <w:r>
            <w:instrText xml:space="preserve"> HYPERLINK \l "_Toc18094" </w:instrText>
          </w:r>
          <w:r>
            <w:fldChar w:fldCharType="separate"/>
          </w:r>
          <w:r>
            <w:rPr>
              <w:rFonts w:hint="eastAsia" w:cs="Times New Roman" w:asciiTheme="minorEastAsia" w:hAnsiTheme="minorEastAsia"/>
              <w:kern w:val="0"/>
              <w:sz w:val="24"/>
              <w:szCs w:val="24"/>
            </w:rPr>
            <w:t>（一）编制说明</w:t>
          </w:r>
          <w:r>
            <w:rPr>
              <w:sz w:val="24"/>
              <w:szCs w:val="24"/>
            </w:rPr>
            <w:tab/>
          </w:r>
          <w:r>
            <w:rPr>
              <w:sz w:val="24"/>
              <w:szCs w:val="24"/>
            </w:rPr>
            <w:fldChar w:fldCharType="begin"/>
          </w:r>
          <w:r>
            <w:rPr>
              <w:sz w:val="24"/>
              <w:szCs w:val="24"/>
            </w:rPr>
            <w:instrText xml:space="preserve"> PAGEREF _Toc18094 </w:instrText>
          </w:r>
          <w:r>
            <w:rPr>
              <w:sz w:val="24"/>
              <w:szCs w:val="24"/>
            </w:rPr>
            <w:fldChar w:fldCharType="separate"/>
          </w:r>
          <w:r>
            <w:rPr>
              <w:sz w:val="24"/>
              <w:szCs w:val="24"/>
            </w:rPr>
            <w:t>3</w:t>
          </w:r>
          <w:r>
            <w:rPr>
              <w:sz w:val="24"/>
              <w:szCs w:val="24"/>
            </w:rPr>
            <w:fldChar w:fldCharType="end"/>
          </w:r>
          <w:r>
            <w:rPr>
              <w:sz w:val="24"/>
              <w:szCs w:val="24"/>
            </w:rPr>
            <w:fldChar w:fldCharType="end"/>
          </w:r>
        </w:p>
        <w:p w14:paraId="75AE9620">
          <w:pPr>
            <w:pStyle w:val="32"/>
            <w:tabs>
              <w:tab w:val="right" w:leader="dot" w:pos="8306"/>
            </w:tabs>
            <w:spacing w:line="360" w:lineRule="auto"/>
            <w:rPr>
              <w:sz w:val="24"/>
              <w:szCs w:val="24"/>
            </w:rPr>
          </w:pPr>
          <w:r>
            <w:fldChar w:fldCharType="begin"/>
          </w:r>
          <w:r>
            <w:instrText xml:space="preserve"> HYPERLINK \l "_Toc13821" </w:instrText>
          </w:r>
          <w:r>
            <w:fldChar w:fldCharType="separate"/>
          </w:r>
          <w:r>
            <w:rPr>
              <w:rFonts w:hint="eastAsia" w:cs="Times New Roman" w:asciiTheme="minorEastAsia" w:hAnsiTheme="minorEastAsia"/>
              <w:kern w:val="0"/>
              <w:sz w:val="24"/>
              <w:szCs w:val="24"/>
            </w:rPr>
            <w:t>（二）总经理致辞</w:t>
          </w:r>
          <w:r>
            <w:rPr>
              <w:sz w:val="24"/>
              <w:szCs w:val="24"/>
            </w:rPr>
            <w:tab/>
          </w:r>
          <w:r>
            <w:rPr>
              <w:sz w:val="24"/>
              <w:szCs w:val="24"/>
            </w:rPr>
            <w:fldChar w:fldCharType="begin"/>
          </w:r>
          <w:r>
            <w:rPr>
              <w:sz w:val="24"/>
              <w:szCs w:val="24"/>
            </w:rPr>
            <w:instrText xml:space="preserve"> PAGEREF _Toc13821 </w:instrText>
          </w:r>
          <w:r>
            <w:rPr>
              <w:sz w:val="24"/>
              <w:szCs w:val="24"/>
            </w:rPr>
            <w:fldChar w:fldCharType="separate"/>
          </w:r>
          <w:r>
            <w:rPr>
              <w:sz w:val="24"/>
              <w:szCs w:val="24"/>
            </w:rPr>
            <w:t>3</w:t>
          </w:r>
          <w:r>
            <w:rPr>
              <w:sz w:val="24"/>
              <w:szCs w:val="24"/>
            </w:rPr>
            <w:fldChar w:fldCharType="end"/>
          </w:r>
          <w:r>
            <w:rPr>
              <w:sz w:val="24"/>
              <w:szCs w:val="24"/>
            </w:rPr>
            <w:fldChar w:fldCharType="end"/>
          </w:r>
        </w:p>
        <w:p w14:paraId="09608B24">
          <w:pPr>
            <w:pStyle w:val="32"/>
            <w:tabs>
              <w:tab w:val="right" w:leader="dot" w:pos="8306"/>
            </w:tabs>
            <w:spacing w:line="360" w:lineRule="auto"/>
            <w:rPr>
              <w:sz w:val="24"/>
              <w:szCs w:val="24"/>
            </w:rPr>
          </w:pPr>
          <w:r>
            <w:fldChar w:fldCharType="begin"/>
          </w:r>
          <w:r>
            <w:instrText xml:space="preserve"> HYPERLINK \l "_Toc13647" </w:instrText>
          </w:r>
          <w:r>
            <w:fldChar w:fldCharType="separate"/>
          </w:r>
          <w:r>
            <w:rPr>
              <w:rFonts w:hint="eastAsia" w:cs="Times New Roman" w:asciiTheme="minorEastAsia" w:hAnsiTheme="minorEastAsia"/>
              <w:kern w:val="0"/>
              <w:sz w:val="24"/>
              <w:szCs w:val="24"/>
            </w:rPr>
            <w:t>（三）公司简介</w:t>
          </w:r>
          <w:r>
            <w:rPr>
              <w:sz w:val="24"/>
              <w:szCs w:val="24"/>
            </w:rPr>
            <w:tab/>
          </w:r>
          <w:r>
            <w:rPr>
              <w:sz w:val="24"/>
              <w:szCs w:val="24"/>
            </w:rPr>
            <w:fldChar w:fldCharType="begin"/>
          </w:r>
          <w:r>
            <w:rPr>
              <w:sz w:val="24"/>
              <w:szCs w:val="24"/>
            </w:rPr>
            <w:instrText xml:space="preserve"> PAGEREF _Toc13647 </w:instrText>
          </w:r>
          <w:r>
            <w:rPr>
              <w:sz w:val="24"/>
              <w:szCs w:val="24"/>
            </w:rPr>
            <w:fldChar w:fldCharType="separate"/>
          </w:r>
          <w:r>
            <w:rPr>
              <w:sz w:val="24"/>
              <w:szCs w:val="24"/>
            </w:rPr>
            <w:t>4</w:t>
          </w:r>
          <w:r>
            <w:rPr>
              <w:sz w:val="24"/>
              <w:szCs w:val="24"/>
            </w:rPr>
            <w:fldChar w:fldCharType="end"/>
          </w:r>
          <w:r>
            <w:rPr>
              <w:sz w:val="24"/>
              <w:szCs w:val="24"/>
            </w:rPr>
            <w:fldChar w:fldCharType="end"/>
          </w:r>
        </w:p>
        <w:p w14:paraId="7275ACE0">
          <w:pPr>
            <w:pStyle w:val="29"/>
            <w:tabs>
              <w:tab w:val="right" w:leader="dot" w:pos="8306"/>
            </w:tabs>
            <w:spacing w:line="360" w:lineRule="auto"/>
            <w:rPr>
              <w:sz w:val="24"/>
              <w:szCs w:val="24"/>
            </w:rPr>
          </w:pPr>
          <w:r>
            <w:fldChar w:fldCharType="begin"/>
          </w:r>
          <w:r>
            <w:instrText xml:space="preserve"> HYPERLINK \l "_Toc8329" </w:instrText>
          </w:r>
          <w:r>
            <w:fldChar w:fldCharType="separate"/>
          </w:r>
          <w:r>
            <w:rPr>
              <w:rFonts w:hint="eastAsia" w:cs="Times New Roman" w:asciiTheme="minorEastAsia" w:hAnsiTheme="minorEastAsia"/>
              <w:kern w:val="0"/>
              <w:sz w:val="24"/>
              <w:szCs w:val="24"/>
            </w:rPr>
            <w:t>二、企业质量管理</w:t>
          </w:r>
          <w:r>
            <w:rPr>
              <w:sz w:val="24"/>
              <w:szCs w:val="24"/>
            </w:rPr>
            <w:tab/>
          </w:r>
          <w:r>
            <w:rPr>
              <w:sz w:val="24"/>
              <w:szCs w:val="24"/>
            </w:rPr>
            <w:fldChar w:fldCharType="begin"/>
          </w:r>
          <w:r>
            <w:rPr>
              <w:sz w:val="24"/>
              <w:szCs w:val="24"/>
            </w:rPr>
            <w:instrText xml:space="preserve"> PAGEREF _Toc8329 </w:instrText>
          </w:r>
          <w:r>
            <w:rPr>
              <w:sz w:val="24"/>
              <w:szCs w:val="24"/>
            </w:rPr>
            <w:fldChar w:fldCharType="separate"/>
          </w:r>
          <w:r>
            <w:rPr>
              <w:sz w:val="24"/>
              <w:szCs w:val="24"/>
            </w:rPr>
            <w:t>4</w:t>
          </w:r>
          <w:r>
            <w:rPr>
              <w:sz w:val="24"/>
              <w:szCs w:val="24"/>
            </w:rPr>
            <w:fldChar w:fldCharType="end"/>
          </w:r>
          <w:r>
            <w:rPr>
              <w:sz w:val="24"/>
              <w:szCs w:val="24"/>
            </w:rPr>
            <w:fldChar w:fldCharType="end"/>
          </w:r>
        </w:p>
        <w:p w14:paraId="73A802EC">
          <w:pPr>
            <w:pStyle w:val="32"/>
            <w:tabs>
              <w:tab w:val="right" w:leader="dot" w:pos="8306"/>
            </w:tabs>
            <w:spacing w:line="360" w:lineRule="auto"/>
            <w:rPr>
              <w:sz w:val="24"/>
              <w:szCs w:val="24"/>
            </w:rPr>
          </w:pPr>
          <w:r>
            <w:fldChar w:fldCharType="begin"/>
          </w:r>
          <w:r>
            <w:instrText xml:space="preserve"> HYPERLINK \l "_Toc28792" </w:instrText>
          </w:r>
          <w:r>
            <w:fldChar w:fldCharType="separate"/>
          </w:r>
          <w:r>
            <w:rPr>
              <w:rFonts w:hint="eastAsia" w:cs="Times New Roman" w:asciiTheme="minorEastAsia" w:hAnsiTheme="minorEastAsia"/>
              <w:kern w:val="0"/>
              <w:sz w:val="24"/>
              <w:szCs w:val="24"/>
            </w:rPr>
            <w:t>（一）企业质量理念</w:t>
          </w:r>
          <w:r>
            <w:rPr>
              <w:sz w:val="24"/>
              <w:szCs w:val="24"/>
            </w:rPr>
            <w:tab/>
          </w:r>
          <w:r>
            <w:rPr>
              <w:sz w:val="24"/>
              <w:szCs w:val="24"/>
            </w:rPr>
            <w:fldChar w:fldCharType="begin"/>
          </w:r>
          <w:r>
            <w:rPr>
              <w:sz w:val="24"/>
              <w:szCs w:val="24"/>
            </w:rPr>
            <w:instrText xml:space="preserve"> PAGEREF _Toc28792 </w:instrText>
          </w:r>
          <w:r>
            <w:rPr>
              <w:sz w:val="24"/>
              <w:szCs w:val="24"/>
            </w:rPr>
            <w:fldChar w:fldCharType="separate"/>
          </w:r>
          <w:r>
            <w:rPr>
              <w:sz w:val="24"/>
              <w:szCs w:val="24"/>
            </w:rPr>
            <w:t>5</w:t>
          </w:r>
          <w:r>
            <w:rPr>
              <w:sz w:val="24"/>
              <w:szCs w:val="24"/>
            </w:rPr>
            <w:fldChar w:fldCharType="end"/>
          </w:r>
          <w:r>
            <w:rPr>
              <w:sz w:val="24"/>
              <w:szCs w:val="24"/>
            </w:rPr>
            <w:fldChar w:fldCharType="end"/>
          </w:r>
        </w:p>
        <w:p w14:paraId="5B35A916">
          <w:pPr>
            <w:pStyle w:val="32"/>
            <w:tabs>
              <w:tab w:val="right" w:leader="dot" w:pos="8306"/>
            </w:tabs>
            <w:spacing w:line="360" w:lineRule="auto"/>
            <w:rPr>
              <w:sz w:val="24"/>
              <w:szCs w:val="24"/>
            </w:rPr>
          </w:pPr>
          <w:r>
            <w:fldChar w:fldCharType="begin"/>
          </w:r>
          <w:r>
            <w:instrText xml:space="preserve"> HYPERLINK \l "_Toc9290" </w:instrText>
          </w:r>
          <w:r>
            <w:fldChar w:fldCharType="separate"/>
          </w:r>
          <w:r>
            <w:rPr>
              <w:rFonts w:hint="eastAsia" w:cs="Times New Roman" w:asciiTheme="minorEastAsia" w:hAnsiTheme="minorEastAsia"/>
              <w:kern w:val="0"/>
              <w:sz w:val="24"/>
              <w:szCs w:val="24"/>
            </w:rPr>
            <w:t>（二）质量管理机构</w:t>
          </w:r>
          <w:r>
            <w:rPr>
              <w:sz w:val="24"/>
              <w:szCs w:val="24"/>
            </w:rPr>
            <w:tab/>
          </w:r>
          <w:r>
            <w:rPr>
              <w:sz w:val="24"/>
              <w:szCs w:val="24"/>
            </w:rPr>
            <w:fldChar w:fldCharType="begin"/>
          </w:r>
          <w:r>
            <w:rPr>
              <w:sz w:val="24"/>
              <w:szCs w:val="24"/>
            </w:rPr>
            <w:instrText xml:space="preserve"> PAGEREF _Toc9290 </w:instrText>
          </w:r>
          <w:r>
            <w:rPr>
              <w:sz w:val="24"/>
              <w:szCs w:val="24"/>
            </w:rPr>
            <w:fldChar w:fldCharType="separate"/>
          </w:r>
          <w:r>
            <w:rPr>
              <w:sz w:val="24"/>
              <w:szCs w:val="24"/>
            </w:rPr>
            <w:t>5</w:t>
          </w:r>
          <w:r>
            <w:rPr>
              <w:sz w:val="24"/>
              <w:szCs w:val="24"/>
            </w:rPr>
            <w:fldChar w:fldCharType="end"/>
          </w:r>
          <w:r>
            <w:rPr>
              <w:sz w:val="24"/>
              <w:szCs w:val="24"/>
            </w:rPr>
            <w:fldChar w:fldCharType="end"/>
          </w:r>
        </w:p>
        <w:p w14:paraId="0ECB4366">
          <w:pPr>
            <w:pStyle w:val="32"/>
            <w:tabs>
              <w:tab w:val="right" w:leader="dot" w:pos="8306"/>
            </w:tabs>
            <w:spacing w:line="360" w:lineRule="auto"/>
            <w:rPr>
              <w:sz w:val="24"/>
              <w:szCs w:val="24"/>
            </w:rPr>
          </w:pPr>
          <w:r>
            <w:fldChar w:fldCharType="begin"/>
          </w:r>
          <w:r>
            <w:instrText xml:space="preserve"> HYPERLINK \l "_Toc21673" </w:instrText>
          </w:r>
          <w:r>
            <w:fldChar w:fldCharType="separate"/>
          </w:r>
          <w:r>
            <w:rPr>
              <w:rFonts w:hint="eastAsia" w:cs="Times New Roman" w:asciiTheme="minorEastAsia" w:hAnsiTheme="minorEastAsia"/>
              <w:kern w:val="0"/>
              <w:sz w:val="24"/>
              <w:szCs w:val="24"/>
            </w:rPr>
            <w:t>（三）质量管理体系</w:t>
          </w:r>
          <w:r>
            <w:rPr>
              <w:sz w:val="24"/>
              <w:szCs w:val="24"/>
            </w:rPr>
            <w:tab/>
          </w:r>
          <w:r>
            <w:rPr>
              <w:sz w:val="24"/>
              <w:szCs w:val="24"/>
            </w:rPr>
            <w:fldChar w:fldCharType="begin"/>
          </w:r>
          <w:r>
            <w:rPr>
              <w:sz w:val="24"/>
              <w:szCs w:val="24"/>
            </w:rPr>
            <w:instrText xml:space="preserve"> PAGEREF _Toc21673 </w:instrText>
          </w:r>
          <w:r>
            <w:rPr>
              <w:sz w:val="24"/>
              <w:szCs w:val="24"/>
            </w:rPr>
            <w:fldChar w:fldCharType="separate"/>
          </w:r>
          <w:r>
            <w:rPr>
              <w:sz w:val="24"/>
              <w:szCs w:val="24"/>
            </w:rPr>
            <w:t>6</w:t>
          </w:r>
          <w:r>
            <w:rPr>
              <w:sz w:val="24"/>
              <w:szCs w:val="24"/>
            </w:rPr>
            <w:fldChar w:fldCharType="end"/>
          </w:r>
          <w:r>
            <w:rPr>
              <w:sz w:val="24"/>
              <w:szCs w:val="24"/>
            </w:rPr>
            <w:fldChar w:fldCharType="end"/>
          </w:r>
        </w:p>
        <w:p w14:paraId="754F3145">
          <w:pPr>
            <w:pStyle w:val="32"/>
            <w:tabs>
              <w:tab w:val="right" w:leader="dot" w:pos="8306"/>
            </w:tabs>
            <w:spacing w:line="360" w:lineRule="auto"/>
            <w:rPr>
              <w:sz w:val="24"/>
              <w:szCs w:val="24"/>
            </w:rPr>
          </w:pPr>
          <w:r>
            <w:fldChar w:fldCharType="begin"/>
          </w:r>
          <w:r>
            <w:instrText xml:space="preserve"> HYPERLINK \l "_Toc31735" </w:instrText>
          </w:r>
          <w:r>
            <w:fldChar w:fldCharType="separate"/>
          </w:r>
          <w:r>
            <w:rPr>
              <w:rFonts w:hint="eastAsia" w:cs="Times New Roman" w:asciiTheme="minorEastAsia" w:hAnsiTheme="minorEastAsia"/>
              <w:kern w:val="0"/>
              <w:sz w:val="24"/>
              <w:szCs w:val="24"/>
            </w:rPr>
            <w:t>（四）质量诚信管理</w:t>
          </w:r>
          <w:r>
            <w:rPr>
              <w:sz w:val="24"/>
              <w:szCs w:val="24"/>
            </w:rPr>
            <w:tab/>
          </w:r>
          <w:r>
            <w:rPr>
              <w:sz w:val="24"/>
              <w:szCs w:val="24"/>
            </w:rPr>
            <w:fldChar w:fldCharType="begin"/>
          </w:r>
          <w:r>
            <w:rPr>
              <w:sz w:val="24"/>
              <w:szCs w:val="24"/>
            </w:rPr>
            <w:instrText xml:space="preserve"> PAGEREF _Toc31735 </w:instrText>
          </w:r>
          <w:r>
            <w:rPr>
              <w:sz w:val="24"/>
              <w:szCs w:val="24"/>
            </w:rPr>
            <w:fldChar w:fldCharType="separate"/>
          </w:r>
          <w:r>
            <w:rPr>
              <w:sz w:val="24"/>
              <w:szCs w:val="24"/>
            </w:rPr>
            <w:t>8</w:t>
          </w:r>
          <w:r>
            <w:rPr>
              <w:sz w:val="24"/>
              <w:szCs w:val="24"/>
            </w:rPr>
            <w:fldChar w:fldCharType="end"/>
          </w:r>
          <w:r>
            <w:rPr>
              <w:sz w:val="24"/>
              <w:szCs w:val="24"/>
            </w:rPr>
            <w:fldChar w:fldCharType="end"/>
          </w:r>
        </w:p>
        <w:p w14:paraId="44F39317">
          <w:pPr>
            <w:pStyle w:val="32"/>
            <w:tabs>
              <w:tab w:val="right" w:leader="dot" w:pos="8306"/>
            </w:tabs>
            <w:spacing w:line="360" w:lineRule="auto"/>
            <w:rPr>
              <w:sz w:val="24"/>
              <w:szCs w:val="24"/>
            </w:rPr>
          </w:pPr>
          <w:r>
            <w:fldChar w:fldCharType="begin"/>
          </w:r>
          <w:r>
            <w:instrText xml:space="preserve"> HYPERLINK \l "_Toc18678" </w:instrText>
          </w:r>
          <w:r>
            <w:fldChar w:fldCharType="separate"/>
          </w:r>
          <w:r>
            <w:rPr>
              <w:rFonts w:hint="eastAsia" w:cs="Times New Roman" w:asciiTheme="minorEastAsia" w:hAnsiTheme="minorEastAsia"/>
              <w:kern w:val="0"/>
              <w:sz w:val="24"/>
              <w:szCs w:val="24"/>
            </w:rPr>
            <w:t>（五）企业文化建设</w:t>
          </w:r>
          <w:r>
            <w:rPr>
              <w:sz w:val="24"/>
              <w:szCs w:val="24"/>
            </w:rPr>
            <w:tab/>
          </w:r>
          <w:r>
            <w:rPr>
              <w:sz w:val="24"/>
              <w:szCs w:val="24"/>
            </w:rPr>
            <w:fldChar w:fldCharType="begin"/>
          </w:r>
          <w:r>
            <w:rPr>
              <w:sz w:val="24"/>
              <w:szCs w:val="24"/>
            </w:rPr>
            <w:instrText xml:space="preserve"> PAGEREF _Toc18678 </w:instrText>
          </w:r>
          <w:r>
            <w:rPr>
              <w:sz w:val="24"/>
              <w:szCs w:val="24"/>
            </w:rPr>
            <w:fldChar w:fldCharType="separate"/>
          </w:r>
          <w:r>
            <w:rPr>
              <w:sz w:val="24"/>
              <w:szCs w:val="24"/>
            </w:rPr>
            <w:t>12</w:t>
          </w:r>
          <w:r>
            <w:rPr>
              <w:sz w:val="24"/>
              <w:szCs w:val="24"/>
            </w:rPr>
            <w:fldChar w:fldCharType="end"/>
          </w:r>
          <w:r>
            <w:rPr>
              <w:sz w:val="24"/>
              <w:szCs w:val="24"/>
            </w:rPr>
            <w:fldChar w:fldCharType="end"/>
          </w:r>
        </w:p>
        <w:p w14:paraId="1148F387">
          <w:pPr>
            <w:pStyle w:val="32"/>
            <w:tabs>
              <w:tab w:val="right" w:leader="dot" w:pos="8306"/>
            </w:tabs>
            <w:spacing w:line="360" w:lineRule="auto"/>
            <w:rPr>
              <w:sz w:val="24"/>
              <w:szCs w:val="24"/>
            </w:rPr>
          </w:pPr>
          <w:r>
            <w:fldChar w:fldCharType="begin"/>
          </w:r>
          <w:r>
            <w:instrText xml:space="preserve"> HYPERLINK \l "_Toc5299" </w:instrText>
          </w:r>
          <w:r>
            <w:fldChar w:fldCharType="separate"/>
          </w:r>
          <w:r>
            <w:rPr>
              <w:rFonts w:hint="eastAsia" w:cs="Times New Roman" w:asciiTheme="minorEastAsia" w:hAnsiTheme="minorEastAsia"/>
              <w:kern w:val="0"/>
              <w:sz w:val="24"/>
              <w:szCs w:val="24"/>
            </w:rPr>
            <w:t>（六）企业技术水平</w:t>
          </w:r>
          <w:r>
            <w:rPr>
              <w:sz w:val="24"/>
              <w:szCs w:val="24"/>
            </w:rPr>
            <w:tab/>
          </w:r>
          <w:r>
            <w:rPr>
              <w:sz w:val="24"/>
              <w:szCs w:val="24"/>
            </w:rPr>
            <w:fldChar w:fldCharType="begin"/>
          </w:r>
          <w:r>
            <w:rPr>
              <w:sz w:val="24"/>
              <w:szCs w:val="24"/>
            </w:rPr>
            <w:instrText xml:space="preserve"> PAGEREF _Toc5299 </w:instrText>
          </w:r>
          <w:r>
            <w:rPr>
              <w:sz w:val="24"/>
              <w:szCs w:val="24"/>
            </w:rPr>
            <w:fldChar w:fldCharType="separate"/>
          </w:r>
          <w:r>
            <w:rPr>
              <w:sz w:val="24"/>
              <w:szCs w:val="24"/>
            </w:rPr>
            <w:t>12</w:t>
          </w:r>
          <w:r>
            <w:rPr>
              <w:sz w:val="24"/>
              <w:szCs w:val="24"/>
            </w:rPr>
            <w:fldChar w:fldCharType="end"/>
          </w:r>
          <w:r>
            <w:rPr>
              <w:sz w:val="24"/>
              <w:szCs w:val="24"/>
            </w:rPr>
            <w:fldChar w:fldCharType="end"/>
          </w:r>
        </w:p>
        <w:p w14:paraId="3B30394B">
          <w:pPr>
            <w:pStyle w:val="32"/>
            <w:tabs>
              <w:tab w:val="right" w:leader="dot" w:pos="8306"/>
            </w:tabs>
            <w:spacing w:line="360" w:lineRule="auto"/>
            <w:rPr>
              <w:sz w:val="24"/>
              <w:szCs w:val="24"/>
            </w:rPr>
          </w:pPr>
          <w:r>
            <w:fldChar w:fldCharType="begin"/>
          </w:r>
          <w:r>
            <w:instrText xml:space="preserve"> HYPERLINK \l "_Toc26372" </w:instrText>
          </w:r>
          <w:r>
            <w:fldChar w:fldCharType="separate"/>
          </w:r>
          <w:r>
            <w:rPr>
              <w:rFonts w:hint="eastAsia" w:cs="Times New Roman" w:asciiTheme="minorEastAsia" w:hAnsiTheme="minorEastAsia"/>
              <w:kern w:val="0"/>
              <w:sz w:val="24"/>
              <w:szCs w:val="24"/>
            </w:rPr>
            <w:t>（七）企业计量水平</w:t>
          </w:r>
          <w:r>
            <w:rPr>
              <w:sz w:val="24"/>
              <w:szCs w:val="24"/>
            </w:rPr>
            <w:tab/>
          </w:r>
          <w:r>
            <w:rPr>
              <w:sz w:val="24"/>
              <w:szCs w:val="24"/>
            </w:rPr>
            <w:fldChar w:fldCharType="begin"/>
          </w:r>
          <w:r>
            <w:rPr>
              <w:sz w:val="24"/>
              <w:szCs w:val="24"/>
            </w:rPr>
            <w:instrText xml:space="preserve"> PAGEREF _Toc26372 </w:instrText>
          </w:r>
          <w:r>
            <w:rPr>
              <w:sz w:val="24"/>
              <w:szCs w:val="24"/>
            </w:rPr>
            <w:fldChar w:fldCharType="separate"/>
          </w:r>
          <w:r>
            <w:rPr>
              <w:sz w:val="24"/>
              <w:szCs w:val="24"/>
            </w:rPr>
            <w:t>14</w:t>
          </w:r>
          <w:r>
            <w:rPr>
              <w:sz w:val="24"/>
              <w:szCs w:val="24"/>
            </w:rPr>
            <w:fldChar w:fldCharType="end"/>
          </w:r>
          <w:r>
            <w:rPr>
              <w:sz w:val="24"/>
              <w:szCs w:val="24"/>
            </w:rPr>
            <w:fldChar w:fldCharType="end"/>
          </w:r>
        </w:p>
        <w:p w14:paraId="1614EDAE">
          <w:pPr>
            <w:pStyle w:val="32"/>
            <w:tabs>
              <w:tab w:val="right" w:leader="dot" w:pos="8306"/>
            </w:tabs>
            <w:spacing w:line="360" w:lineRule="auto"/>
            <w:rPr>
              <w:sz w:val="24"/>
              <w:szCs w:val="24"/>
            </w:rPr>
          </w:pPr>
          <w:r>
            <w:fldChar w:fldCharType="begin"/>
          </w:r>
          <w:r>
            <w:instrText xml:space="preserve"> HYPERLINK \l "_Toc9831" </w:instrText>
          </w:r>
          <w:r>
            <w:fldChar w:fldCharType="separate"/>
          </w:r>
          <w:r>
            <w:rPr>
              <w:rFonts w:hint="eastAsia" w:cs="Times New Roman" w:asciiTheme="minorEastAsia" w:hAnsiTheme="minorEastAsia"/>
              <w:kern w:val="0"/>
              <w:sz w:val="24"/>
              <w:szCs w:val="24"/>
            </w:rPr>
            <w:t>（八）认证认可情况</w:t>
          </w:r>
          <w:r>
            <w:rPr>
              <w:sz w:val="24"/>
              <w:szCs w:val="24"/>
            </w:rPr>
            <w:tab/>
          </w:r>
          <w:r>
            <w:rPr>
              <w:sz w:val="24"/>
              <w:szCs w:val="24"/>
            </w:rPr>
            <w:fldChar w:fldCharType="begin"/>
          </w:r>
          <w:r>
            <w:rPr>
              <w:sz w:val="24"/>
              <w:szCs w:val="24"/>
            </w:rPr>
            <w:instrText xml:space="preserve"> PAGEREF _Toc9831 </w:instrText>
          </w:r>
          <w:r>
            <w:rPr>
              <w:sz w:val="24"/>
              <w:szCs w:val="24"/>
            </w:rPr>
            <w:fldChar w:fldCharType="separate"/>
          </w:r>
          <w:r>
            <w:rPr>
              <w:sz w:val="24"/>
              <w:szCs w:val="24"/>
            </w:rPr>
            <w:t>15</w:t>
          </w:r>
          <w:r>
            <w:rPr>
              <w:sz w:val="24"/>
              <w:szCs w:val="24"/>
            </w:rPr>
            <w:fldChar w:fldCharType="end"/>
          </w:r>
          <w:r>
            <w:rPr>
              <w:sz w:val="24"/>
              <w:szCs w:val="24"/>
            </w:rPr>
            <w:fldChar w:fldCharType="end"/>
          </w:r>
        </w:p>
        <w:p w14:paraId="7ABC0172">
          <w:pPr>
            <w:pStyle w:val="32"/>
            <w:tabs>
              <w:tab w:val="right" w:leader="dot" w:pos="8306"/>
            </w:tabs>
            <w:spacing w:line="360" w:lineRule="auto"/>
            <w:rPr>
              <w:sz w:val="24"/>
              <w:szCs w:val="24"/>
            </w:rPr>
          </w:pPr>
          <w:r>
            <w:fldChar w:fldCharType="begin"/>
          </w:r>
          <w:r>
            <w:instrText xml:space="preserve"> HYPERLINK \l "_Toc110" </w:instrText>
          </w:r>
          <w:r>
            <w:fldChar w:fldCharType="separate"/>
          </w:r>
          <w:r>
            <w:rPr>
              <w:rFonts w:hint="eastAsia" w:cs="Times New Roman" w:asciiTheme="minorEastAsia" w:hAnsiTheme="minorEastAsia"/>
              <w:kern w:val="0"/>
              <w:sz w:val="24"/>
              <w:szCs w:val="24"/>
            </w:rPr>
            <w:t>（九）产品质量承诺</w:t>
          </w:r>
          <w:r>
            <w:rPr>
              <w:sz w:val="24"/>
              <w:szCs w:val="24"/>
            </w:rPr>
            <w:tab/>
          </w:r>
          <w:r>
            <w:rPr>
              <w:sz w:val="24"/>
              <w:szCs w:val="24"/>
            </w:rPr>
            <w:fldChar w:fldCharType="begin"/>
          </w:r>
          <w:r>
            <w:rPr>
              <w:sz w:val="24"/>
              <w:szCs w:val="24"/>
            </w:rPr>
            <w:instrText xml:space="preserve"> PAGEREF _Toc110 </w:instrText>
          </w:r>
          <w:r>
            <w:rPr>
              <w:sz w:val="24"/>
              <w:szCs w:val="24"/>
            </w:rPr>
            <w:fldChar w:fldCharType="separate"/>
          </w:r>
          <w:r>
            <w:rPr>
              <w:sz w:val="24"/>
              <w:szCs w:val="24"/>
            </w:rPr>
            <w:t>15</w:t>
          </w:r>
          <w:r>
            <w:rPr>
              <w:sz w:val="24"/>
              <w:szCs w:val="24"/>
            </w:rPr>
            <w:fldChar w:fldCharType="end"/>
          </w:r>
          <w:r>
            <w:rPr>
              <w:sz w:val="24"/>
              <w:szCs w:val="24"/>
            </w:rPr>
            <w:fldChar w:fldCharType="end"/>
          </w:r>
        </w:p>
        <w:p w14:paraId="5E7BA049">
          <w:pPr>
            <w:pStyle w:val="32"/>
            <w:tabs>
              <w:tab w:val="right" w:leader="dot" w:pos="8306"/>
            </w:tabs>
            <w:spacing w:line="360" w:lineRule="auto"/>
            <w:rPr>
              <w:sz w:val="24"/>
              <w:szCs w:val="24"/>
            </w:rPr>
          </w:pPr>
          <w:r>
            <w:fldChar w:fldCharType="begin"/>
          </w:r>
          <w:r>
            <w:instrText xml:space="preserve"> HYPERLINK \l "_Toc14390" </w:instrText>
          </w:r>
          <w:r>
            <w:fldChar w:fldCharType="separate"/>
          </w:r>
          <w:r>
            <w:rPr>
              <w:rFonts w:hint="eastAsia" w:cs="Times New Roman" w:asciiTheme="minorEastAsia" w:hAnsiTheme="minorEastAsia"/>
              <w:kern w:val="0"/>
              <w:sz w:val="24"/>
              <w:szCs w:val="24"/>
            </w:rPr>
            <w:t>（十）质量投诉处理</w:t>
          </w:r>
          <w:r>
            <w:rPr>
              <w:sz w:val="24"/>
              <w:szCs w:val="24"/>
            </w:rPr>
            <w:tab/>
          </w:r>
          <w:r>
            <w:rPr>
              <w:sz w:val="24"/>
              <w:szCs w:val="24"/>
            </w:rPr>
            <w:fldChar w:fldCharType="begin"/>
          </w:r>
          <w:r>
            <w:rPr>
              <w:sz w:val="24"/>
              <w:szCs w:val="24"/>
            </w:rPr>
            <w:instrText xml:space="preserve"> PAGEREF _Toc14390 </w:instrText>
          </w:r>
          <w:r>
            <w:rPr>
              <w:sz w:val="24"/>
              <w:szCs w:val="24"/>
            </w:rPr>
            <w:fldChar w:fldCharType="separate"/>
          </w:r>
          <w:r>
            <w:rPr>
              <w:sz w:val="24"/>
              <w:szCs w:val="24"/>
            </w:rPr>
            <w:t>15</w:t>
          </w:r>
          <w:r>
            <w:rPr>
              <w:sz w:val="24"/>
              <w:szCs w:val="24"/>
            </w:rPr>
            <w:fldChar w:fldCharType="end"/>
          </w:r>
          <w:r>
            <w:rPr>
              <w:sz w:val="24"/>
              <w:szCs w:val="24"/>
            </w:rPr>
            <w:fldChar w:fldCharType="end"/>
          </w:r>
        </w:p>
        <w:p w14:paraId="52FF6EDE">
          <w:pPr>
            <w:pStyle w:val="32"/>
            <w:tabs>
              <w:tab w:val="right" w:leader="dot" w:pos="8306"/>
            </w:tabs>
            <w:spacing w:line="360" w:lineRule="auto"/>
            <w:rPr>
              <w:sz w:val="24"/>
              <w:szCs w:val="24"/>
            </w:rPr>
          </w:pPr>
          <w:r>
            <w:fldChar w:fldCharType="begin"/>
          </w:r>
          <w:r>
            <w:instrText xml:space="preserve"> HYPERLINK \l "_Toc21494" </w:instrText>
          </w:r>
          <w:r>
            <w:fldChar w:fldCharType="separate"/>
          </w:r>
          <w:r>
            <w:rPr>
              <w:rFonts w:hint="eastAsia" w:cs="Times New Roman" w:asciiTheme="minorEastAsia" w:hAnsiTheme="minorEastAsia"/>
              <w:kern w:val="0"/>
              <w:sz w:val="24"/>
              <w:szCs w:val="24"/>
            </w:rPr>
            <w:t>（十一）质量风险监测</w:t>
          </w:r>
          <w:r>
            <w:rPr>
              <w:sz w:val="24"/>
              <w:szCs w:val="24"/>
            </w:rPr>
            <w:tab/>
          </w:r>
          <w:r>
            <w:rPr>
              <w:sz w:val="24"/>
              <w:szCs w:val="24"/>
            </w:rPr>
            <w:fldChar w:fldCharType="begin"/>
          </w:r>
          <w:r>
            <w:rPr>
              <w:sz w:val="24"/>
              <w:szCs w:val="24"/>
            </w:rPr>
            <w:instrText xml:space="preserve"> PAGEREF _Toc21494 </w:instrText>
          </w:r>
          <w:r>
            <w:rPr>
              <w:sz w:val="24"/>
              <w:szCs w:val="24"/>
            </w:rPr>
            <w:fldChar w:fldCharType="separate"/>
          </w:r>
          <w:r>
            <w:rPr>
              <w:sz w:val="24"/>
              <w:szCs w:val="24"/>
            </w:rPr>
            <w:t>16</w:t>
          </w:r>
          <w:r>
            <w:rPr>
              <w:sz w:val="24"/>
              <w:szCs w:val="24"/>
            </w:rPr>
            <w:fldChar w:fldCharType="end"/>
          </w:r>
          <w:r>
            <w:rPr>
              <w:sz w:val="24"/>
              <w:szCs w:val="24"/>
            </w:rPr>
            <w:fldChar w:fldCharType="end"/>
          </w:r>
        </w:p>
        <w:p w14:paraId="7EAE117D">
          <w:pPr>
            <w:pStyle w:val="29"/>
            <w:tabs>
              <w:tab w:val="right" w:leader="dot" w:pos="8306"/>
            </w:tabs>
            <w:spacing w:line="360" w:lineRule="auto"/>
            <w:rPr>
              <w:sz w:val="24"/>
              <w:szCs w:val="24"/>
            </w:rPr>
          </w:pPr>
          <w:r>
            <w:fldChar w:fldCharType="begin"/>
          </w:r>
          <w:r>
            <w:instrText xml:space="preserve"> HYPERLINK \l "_Toc14688" </w:instrText>
          </w:r>
          <w:r>
            <w:fldChar w:fldCharType="separate"/>
          </w:r>
          <w:r>
            <w:rPr>
              <w:rFonts w:hint="eastAsia" w:cs="Times New Roman" w:asciiTheme="minorEastAsia" w:hAnsiTheme="minorEastAsia"/>
              <w:kern w:val="0"/>
              <w:sz w:val="24"/>
              <w:szCs w:val="24"/>
            </w:rPr>
            <w:t>三、展望</w:t>
          </w:r>
          <w:r>
            <w:rPr>
              <w:sz w:val="24"/>
              <w:szCs w:val="24"/>
            </w:rPr>
            <w:tab/>
          </w:r>
          <w:r>
            <w:rPr>
              <w:sz w:val="24"/>
              <w:szCs w:val="24"/>
            </w:rPr>
            <w:fldChar w:fldCharType="begin"/>
          </w:r>
          <w:r>
            <w:rPr>
              <w:sz w:val="24"/>
              <w:szCs w:val="24"/>
            </w:rPr>
            <w:instrText xml:space="preserve"> PAGEREF _Toc14688 </w:instrText>
          </w:r>
          <w:r>
            <w:rPr>
              <w:sz w:val="24"/>
              <w:szCs w:val="24"/>
            </w:rPr>
            <w:fldChar w:fldCharType="separate"/>
          </w:r>
          <w:r>
            <w:rPr>
              <w:sz w:val="24"/>
              <w:szCs w:val="24"/>
            </w:rPr>
            <w:t>16</w:t>
          </w:r>
          <w:r>
            <w:rPr>
              <w:sz w:val="24"/>
              <w:szCs w:val="24"/>
            </w:rPr>
            <w:fldChar w:fldCharType="end"/>
          </w:r>
          <w:r>
            <w:rPr>
              <w:sz w:val="24"/>
              <w:szCs w:val="24"/>
            </w:rPr>
            <w:fldChar w:fldCharType="end"/>
          </w:r>
        </w:p>
        <w:p w14:paraId="2D31E29F">
          <w:pPr>
            <w:spacing w:before="40" w:after="40" w:line="360" w:lineRule="auto"/>
            <w:jc w:val="center"/>
            <w:rPr>
              <w:rFonts w:ascii="宋体" w:hAnsi="宋体" w:eastAsia="宋体" w:cs="宋体"/>
              <w:szCs w:val="36"/>
            </w:rPr>
          </w:pPr>
          <w:r>
            <w:rPr>
              <w:rFonts w:ascii="宋体" w:hAnsi="宋体" w:eastAsia="宋体" w:cs="宋体"/>
              <w:sz w:val="24"/>
              <w:szCs w:val="24"/>
            </w:rPr>
            <w:fldChar w:fldCharType="end"/>
          </w:r>
        </w:p>
      </w:sdtContent>
    </w:sdt>
    <w:p w14:paraId="3F86D23E">
      <w:pPr>
        <w:spacing w:line="360" w:lineRule="auto"/>
        <w:ind w:firstLine="480" w:firstLineChars="200"/>
        <w:rPr>
          <w:rFonts w:cs="Times New Roman" w:asciiTheme="minorEastAsia" w:hAnsiTheme="minorEastAsia"/>
          <w:kern w:val="0"/>
          <w:sz w:val="24"/>
          <w:szCs w:val="24"/>
        </w:rPr>
      </w:pPr>
      <w:bookmarkStart w:id="1" w:name="_Toc451594564"/>
    </w:p>
    <w:p w14:paraId="0340ADBC">
      <w:pPr>
        <w:spacing w:line="360" w:lineRule="auto"/>
        <w:ind w:firstLine="480" w:firstLineChars="200"/>
        <w:outlineLvl w:val="0"/>
        <w:rPr>
          <w:rFonts w:cs="Times New Roman" w:asciiTheme="minorEastAsia" w:hAnsiTheme="minorEastAsia"/>
          <w:kern w:val="0"/>
          <w:sz w:val="24"/>
          <w:szCs w:val="24"/>
        </w:rPr>
        <w:sectPr>
          <w:headerReference r:id="rId3" w:type="default"/>
          <w:pgSz w:w="11906" w:h="16838"/>
          <w:pgMar w:top="1440" w:right="1800" w:bottom="1440" w:left="1800" w:header="851" w:footer="992" w:gutter="0"/>
          <w:cols w:space="425" w:num="1"/>
          <w:docGrid w:type="lines" w:linePitch="312" w:charSpace="0"/>
        </w:sectPr>
      </w:pPr>
      <w:bookmarkStart w:id="2" w:name="_Toc16600"/>
    </w:p>
    <w:p w14:paraId="03959016">
      <w:pPr>
        <w:spacing w:line="360" w:lineRule="auto"/>
        <w:ind w:firstLine="480" w:firstLineChars="200"/>
        <w:outlineLvl w:val="0"/>
        <w:rPr>
          <w:rFonts w:cs="Times New Roman" w:asciiTheme="minorEastAsia" w:hAnsiTheme="minorEastAsia"/>
          <w:kern w:val="0"/>
          <w:sz w:val="24"/>
          <w:szCs w:val="24"/>
        </w:rPr>
      </w:pPr>
      <w:r>
        <w:rPr>
          <w:rFonts w:hint="eastAsia" w:cs="Times New Roman" w:asciiTheme="minorEastAsia" w:hAnsiTheme="minorEastAsia"/>
          <w:kern w:val="0"/>
          <w:sz w:val="24"/>
          <w:szCs w:val="24"/>
        </w:rPr>
        <w:t>一、前  言</w:t>
      </w:r>
      <w:bookmarkEnd w:id="1"/>
      <w:bookmarkEnd w:id="2"/>
    </w:p>
    <w:p w14:paraId="360C6494">
      <w:pPr>
        <w:spacing w:line="360" w:lineRule="auto"/>
        <w:ind w:firstLine="480" w:firstLineChars="200"/>
        <w:outlineLvl w:val="1"/>
        <w:rPr>
          <w:rFonts w:cs="Times New Roman" w:asciiTheme="minorEastAsia" w:hAnsiTheme="minorEastAsia"/>
          <w:kern w:val="0"/>
          <w:sz w:val="24"/>
          <w:szCs w:val="24"/>
        </w:rPr>
      </w:pPr>
      <w:bookmarkStart w:id="3" w:name="_Toc18094"/>
      <w:r>
        <w:rPr>
          <w:rFonts w:hint="eastAsia" w:cs="Times New Roman" w:asciiTheme="minorEastAsia" w:hAnsiTheme="minorEastAsia"/>
          <w:kern w:val="0"/>
          <w:sz w:val="24"/>
          <w:szCs w:val="24"/>
        </w:rPr>
        <w:t>（一）编制说明</w:t>
      </w:r>
      <w:bookmarkEnd w:id="3"/>
    </w:p>
    <w:p w14:paraId="4AD1F38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本报告为</w:t>
      </w:r>
      <w:r>
        <w:rPr>
          <w:rFonts w:hint="eastAsia" w:cs="Times New Roman" w:asciiTheme="minorEastAsia" w:hAnsiTheme="minorEastAsia"/>
          <w:kern w:val="0"/>
          <w:sz w:val="24"/>
          <w:szCs w:val="24"/>
          <w:highlight w:val="none"/>
          <w:lang w:eastAsia="zh-CN"/>
        </w:rPr>
        <w:t>杭州星点包装材料有限公司</w:t>
      </w:r>
      <w:r>
        <w:rPr>
          <w:rFonts w:hint="eastAsia" w:cs="Times New Roman" w:asciiTheme="minorEastAsia" w:hAnsiTheme="minorEastAsia"/>
          <w:kern w:val="0"/>
          <w:sz w:val="24"/>
          <w:szCs w:val="24"/>
          <w:highlight w:val="none"/>
        </w:rPr>
        <w:t>（以下简称为“</w:t>
      </w:r>
      <w:r>
        <w:rPr>
          <w:rFonts w:hint="eastAsia" w:cs="Times New Roman" w:asciiTheme="minorEastAsia" w:hAnsiTheme="minorEastAsia"/>
          <w:kern w:val="0"/>
          <w:sz w:val="24"/>
          <w:szCs w:val="24"/>
          <w:highlight w:val="none"/>
          <w:lang w:eastAsia="zh-CN"/>
        </w:rPr>
        <w:t>星点包装</w:t>
      </w:r>
      <w:r>
        <w:rPr>
          <w:rFonts w:hint="eastAsia" w:cs="Times New Roman" w:asciiTheme="minorEastAsia" w:hAnsiTheme="minorEastAsia"/>
          <w:kern w:val="0"/>
          <w:sz w:val="24"/>
          <w:szCs w:val="24"/>
          <w:highlight w:val="none"/>
        </w:rPr>
        <w:t>”或“公司”）首次公开发布的《企业质量诚信报告》，系根据中华人民共和国国家标准</w:t>
      </w:r>
      <w:r>
        <w:rPr>
          <w:rFonts w:cs="Times New Roman" w:asciiTheme="minorEastAsia" w:hAnsiTheme="minorEastAsia"/>
          <w:kern w:val="0"/>
          <w:sz w:val="24"/>
          <w:szCs w:val="24"/>
          <w:highlight w:val="none"/>
        </w:rPr>
        <w:t>GB/T 29467-2012</w:t>
      </w:r>
      <w:r>
        <w:rPr>
          <w:rFonts w:hint="eastAsia" w:cs="Times New Roman" w:asciiTheme="minorEastAsia" w:hAnsiTheme="minorEastAsia"/>
          <w:kern w:val="0"/>
          <w:sz w:val="24"/>
          <w:szCs w:val="24"/>
          <w:highlight w:val="none"/>
        </w:rPr>
        <w:t>《企业质量诚信管理实施规范》和GB/T 31870-2015《企业质量信用报告编写指南》的规定，结合本公司</w:t>
      </w:r>
      <w:r>
        <w:rPr>
          <w:rFonts w:cs="Times New Roman" w:asciiTheme="minorEastAsia" w:hAnsiTheme="minorEastAsia"/>
          <w:kern w:val="0"/>
          <w:sz w:val="24"/>
          <w:szCs w:val="24"/>
          <w:highlight w:val="none"/>
        </w:rPr>
        <w:t>202</w:t>
      </w:r>
      <w:r>
        <w:rPr>
          <w:rFonts w:hint="eastAsia" w:cs="Times New Roman" w:asciiTheme="minorEastAsia" w:hAnsiTheme="minorEastAsia"/>
          <w:kern w:val="0"/>
          <w:sz w:val="24"/>
          <w:szCs w:val="24"/>
          <w:highlight w:val="none"/>
          <w:lang w:val="en-US" w:eastAsia="zh-CN"/>
        </w:rPr>
        <w:t>4</w:t>
      </w:r>
      <w:r>
        <w:rPr>
          <w:rFonts w:hint="eastAsia" w:cs="Times New Roman" w:asciiTheme="minorEastAsia" w:hAnsiTheme="minorEastAsia"/>
          <w:kern w:val="0"/>
          <w:sz w:val="24"/>
          <w:szCs w:val="24"/>
          <w:highlight w:val="none"/>
        </w:rPr>
        <w:t>年质</w:t>
      </w:r>
      <w:r>
        <w:rPr>
          <w:rFonts w:hint="eastAsia" w:cs="Times New Roman" w:asciiTheme="minorEastAsia" w:hAnsiTheme="minorEastAsia"/>
          <w:kern w:val="0"/>
          <w:sz w:val="24"/>
          <w:szCs w:val="24"/>
        </w:rPr>
        <w:t>量诚信体系建设情况编制而成。</w:t>
      </w:r>
    </w:p>
    <w:p w14:paraId="575F5F4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本公司保证本报告中所载资料在质量管理、产品质量责任、质量诚信管理等方面的理念、制度、采取的措施和取得的绩效等不存在任何虚假记载、误导性陈述，并对其内容的真实性、准确性承担责任。</w:t>
      </w:r>
    </w:p>
    <w:p w14:paraId="138B99CF">
      <w:pPr>
        <w:spacing w:line="360" w:lineRule="auto"/>
        <w:ind w:firstLine="480" w:firstLineChars="200"/>
        <w:rPr>
          <w:rFonts w:hint="eastAsia" w:cs="Times New Roman" w:asciiTheme="minorEastAsia" w:hAnsiTheme="minorEastAsia" w:eastAsiaTheme="minorEastAsia"/>
          <w:kern w:val="0"/>
          <w:sz w:val="24"/>
          <w:szCs w:val="24"/>
          <w:highlight w:val="none"/>
          <w:lang w:eastAsia="zh-CN"/>
        </w:rPr>
      </w:pPr>
      <w:r>
        <w:rPr>
          <w:rFonts w:hint="eastAsia" w:cs="Times New Roman" w:asciiTheme="minorEastAsia" w:hAnsiTheme="minorEastAsia"/>
          <w:kern w:val="0"/>
          <w:sz w:val="24"/>
          <w:szCs w:val="24"/>
        </w:rPr>
        <w:t>报告组织范围：</w:t>
      </w:r>
      <w:r>
        <w:rPr>
          <w:rFonts w:hint="eastAsia" w:cs="Times New Roman" w:asciiTheme="minorEastAsia" w:hAnsiTheme="minorEastAsia"/>
          <w:kern w:val="0"/>
          <w:sz w:val="24"/>
          <w:szCs w:val="24"/>
          <w:highlight w:val="none"/>
          <w:lang w:eastAsia="zh-CN"/>
        </w:rPr>
        <w:t>杭州星点包装材料有限公司</w:t>
      </w:r>
    </w:p>
    <w:p w14:paraId="0B4811F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highlight w:val="none"/>
        </w:rPr>
        <w:t>报告发布时间：202</w:t>
      </w:r>
      <w:r>
        <w:rPr>
          <w:rFonts w:hint="eastAsia" w:cs="Times New Roman" w:asciiTheme="minorEastAsia" w:hAnsiTheme="minorEastAsia"/>
          <w:kern w:val="0"/>
          <w:sz w:val="24"/>
          <w:szCs w:val="24"/>
          <w:highlight w:val="none"/>
          <w:lang w:val="en-US" w:eastAsia="zh-CN"/>
        </w:rPr>
        <w:t>4</w:t>
      </w:r>
      <w:r>
        <w:rPr>
          <w:rFonts w:hint="eastAsia" w:cs="Times New Roman" w:asciiTheme="minorEastAsia" w:hAnsiTheme="minorEastAsia"/>
          <w:kern w:val="0"/>
          <w:sz w:val="24"/>
          <w:szCs w:val="24"/>
          <w:highlight w:val="none"/>
        </w:rPr>
        <w:t>年0</w:t>
      </w:r>
      <w:r>
        <w:rPr>
          <w:rFonts w:cs="Times New Roman" w:asciiTheme="minorEastAsia" w:hAnsiTheme="minorEastAsia"/>
          <w:kern w:val="0"/>
          <w:sz w:val="24"/>
          <w:szCs w:val="24"/>
          <w:highlight w:val="none"/>
        </w:rPr>
        <w:t>1</w:t>
      </w:r>
      <w:r>
        <w:rPr>
          <w:rFonts w:hint="eastAsia" w:cs="Times New Roman" w:asciiTheme="minorEastAsia" w:hAnsiTheme="minorEastAsia"/>
          <w:kern w:val="0"/>
          <w:sz w:val="24"/>
          <w:szCs w:val="24"/>
          <w:highlight w:val="none"/>
        </w:rPr>
        <w:t>月</w:t>
      </w:r>
      <w:r>
        <w:rPr>
          <w:rFonts w:cs="Times New Roman" w:asciiTheme="minorEastAsia" w:hAnsiTheme="minorEastAsia"/>
          <w:kern w:val="0"/>
          <w:sz w:val="24"/>
          <w:szCs w:val="24"/>
          <w:highlight w:val="none"/>
        </w:rPr>
        <w:t>1</w:t>
      </w:r>
      <w:r>
        <w:rPr>
          <w:rFonts w:hint="eastAsia" w:cs="Times New Roman" w:asciiTheme="minorEastAsia" w:hAnsiTheme="minorEastAsia"/>
          <w:kern w:val="0"/>
          <w:sz w:val="24"/>
          <w:szCs w:val="24"/>
          <w:highlight w:val="none"/>
        </w:rPr>
        <w:t>日至202</w:t>
      </w:r>
      <w:r>
        <w:rPr>
          <w:rFonts w:hint="eastAsia" w:cs="Times New Roman" w:asciiTheme="minorEastAsia" w:hAnsiTheme="minorEastAsia"/>
          <w:kern w:val="0"/>
          <w:sz w:val="24"/>
          <w:szCs w:val="24"/>
          <w:highlight w:val="none"/>
          <w:lang w:val="en-US" w:eastAsia="zh-CN"/>
        </w:rPr>
        <w:t>4</w:t>
      </w:r>
      <w:r>
        <w:rPr>
          <w:rFonts w:hint="eastAsia" w:cs="Times New Roman" w:asciiTheme="minorEastAsia" w:hAnsiTheme="minorEastAsia"/>
          <w:kern w:val="0"/>
          <w:sz w:val="24"/>
          <w:szCs w:val="24"/>
          <w:highlight w:val="none"/>
        </w:rPr>
        <w:t>年</w:t>
      </w:r>
      <w:r>
        <w:rPr>
          <w:rFonts w:cs="Times New Roman" w:asciiTheme="minorEastAsia" w:hAnsiTheme="minorEastAsia"/>
          <w:kern w:val="0"/>
          <w:sz w:val="24"/>
          <w:szCs w:val="24"/>
          <w:highlight w:val="none"/>
        </w:rPr>
        <w:t>12</w:t>
      </w:r>
      <w:r>
        <w:rPr>
          <w:rFonts w:hint="eastAsia" w:cs="Times New Roman" w:asciiTheme="minorEastAsia" w:hAnsiTheme="minorEastAsia"/>
          <w:kern w:val="0"/>
          <w:sz w:val="24"/>
          <w:szCs w:val="24"/>
          <w:highlight w:val="none"/>
        </w:rPr>
        <w:t>月</w:t>
      </w:r>
      <w:r>
        <w:rPr>
          <w:rFonts w:cs="Times New Roman" w:asciiTheme="minorEastAsia" w:hAnsiTheme="minorEastAsia"/>
          <w:kern w:val="0"/>
          <w:sz w:val="24"/>
          <w:szCs w:val="24"/>
          <w:highlight w:val="none"/>
        </w:rPr>
        <w:t>3</w:t>
      </w:r>
      <w:r>
        <w:rPr>
          <w:rFonts w:hint="eastAsia" w:cs="Times New Roman" w:asciiTheme="minorEastAsia" w:hAnsiTheme="minorEastAsia"/>
          <w:kern w:val="0"/>
          <w:sz w:val="24"/>
          <w:szCs w:val="24"/>
          <w:highlight w:val="none"/>
        </w:rPr>
        <w:t>1日</w:t>
      </w:r>
      <w:r>
        <w:rPr>
          <w:rFonts w:hint="eastAsia" w:cs="Times New Roman" w:asciiTheme="minorEastAsia" w:hAnsiTheme="minorEastAsia"/>
          <w:kern w:val="0"/>
          <w:sz w:val="24"/>
          <w:szCs w:val="24"/>
        </w:rPr>
        <w:t>期间</w:t>
      </w:r>
    </w:p>
    <w:p w14:paraId="5E655D2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报告发布周期:1次/年</w:t>
      </w:r>
    </w:p>
    <w:p w14:paraId="2012C84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报告数据说明:报告内所涉数据来源于公司,数据真实有效。</w:t>
      </w:r>
    </w:p>
    <w:p w14:paraId="47A220AF">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报告获取方式：公司网站</w:t>
      </w:r>
      <w:bookmarkStart w:id="4" w:name="_Toc13821"/>
      <w:r>
        <w:rPr>
          <w:rFonts w:hint="eastAsia" w:cs="Times New Roman" w:asciiTheme="minorEastAsia" w:hAnsiTheme="minorEastAsia"/>
          <w:kern w:val="0"/>
          <w:sz w:val="24"/>
          <w:szCs w:val="24"/>
          <w:highlight w:val="none"/>
        </w:rPr>
        <w:t>http://www.superstarpack.com</w:t>
      </w:r>
    </w:p>
    <w:p w14:paraId="6782535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（二）总经理致辞</w:t>
      </w:r>
      <w:bookmarkEnd w:id="4"/>
    </w:p>
    <w:p w14:paraId="712AFDA9">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尊敬的</w:t>
      </w:r>
      <w:r>
        <w:rPr>
          <w:rFonts w:hint="eastAsia" w:cs="Times New Roman" w:asciiTheme="minorEastAsia" w:hAnsiTheme="minorEastAsia"/>
          <w:kern w:val="0"/>
          <w:sz w:val="24"/>
          <w:szCs w:val="24"/>
        </w:rPr>
        <w:t>市场监管</w:t>
      </w:r>
      <w:r>
        <w:rPr>
          <w:rFonts w:cs="Times New Roman" w:asciiTheme="minorEastAsia" w:hAnsiTheme="minorEastAsia"/>
          <w:kern w:val="0"/>
          <w:sz w:val="24"/>
          <w:szCs w:val="24"/>
        </w:rPr>
        <w:t>部门、各界朋友及同仁：</w:t>
      </w:r>
    </w:p>
    <w:p w14:paraId="3F37087D">
      <w:pPr>
        <w:spacing w:line="360" w:lineRule="auto"/>
        <w:ind w:firstLine="480" w:firstLineChars="200"/>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highlight w:val="none"/>
          <w:lang w:eastAsia="zh-CN"/>
        </w:rPr>
        <w:t>杭州星点包装材料有限公司</w:t>
      </w:r>
      <w:r>
        <w:rPr>
          <w:rFonts w:cs="Times New Roman" w:asciiTheme="minorEastAsia" w:hAnsiTheme="minorEastAsia"/>
          <w:kern w:val="0"/>
          <w:sz w:val="24"/>
          <w:szCs w:val="24"/>
          <w:highlight w:val="none"/>
        </w:rPr>
        <w:t>衷心感谢社会各界广大用户的厚爱、支持与合作！ </w:t>
      </w:r>
    </w:p>
    <w:p w14:paraId="684D6674">
      <w:pPr>
        <w:spacing w:line="360" w:lineRule="auto"/>
        <w:ind w:firstLine="480" w:firstLineChars="200"/>
        <w:rPr>
          <w:rFonts w:cs="Times New Roman" w:asciiTheme="minorEastAsia" w:hAnsiTheme="minorEastAsia"/>
          <w:kern w:val="0"/>
          <w:sz w:val="24"/>
          <w:szCs w:val="24"/>
          <w:highlight w:val="none"/>
        </w:rPr>
      </w:pPr>
      <w:r>
        <w:rPr>
          <w:rFonts w:cs="Times New Roman" w:asciiTheme="minorEastAsia" w:hAnsiTheme="minorEastAsia"/>
          <w:kern w:val="0"/>
          <w:sz w:val="24"/>
          <w:szCs w:val="24"/>
          <w:highlight w:val="none"/>
        </w:rPr>
        <w:t>我公司拥有先进的生产工艺和设备，建立了严格的质量控制体系，致力于</w:t>
      </w:r>
      <w:r>
        <w:rPr>
          <w:rFonts w:hint="eastAsia" w:cs="Times New Roman" w:asciiTheme="minorEastAsia" w:hAnsiTheme="minorEastAsia"/>
          <w:kern w:val="0"/>
          <w:sz w:val="24"/>
          <w:szCs w:val="24"/>
          <w:highlight w:val="none"/>
        </w:rPr>
        <w:t>做一个有道德有责任的企业</w:t>
      </w:r>
      <w:r>
        <w:rPr>
          <w:rFonts w:cs="Times New Roman" w:asciiTheme="minorEastAsia" w:hAnsiTheme="minorEastAsia"/>
          <w:kern w:val="0"/>
          <w:sz w:val="24"/>
          <w:szCs w:val="24"/>
          <w:highlight w:val="none"/>
        </w:rPr>
        <w:t>。</w:t>
      </w:r>
    </w:p>
    <w:p w14:paraId="7E33C7C2">
      <w:pPr>
        <w:spacing w:line="360" w:lineRule="auto"/>
        <w:ind w:firstLine="480" w:firstLineChars="200"/>
        <w:rPr>
          <w:rFonts w:cs="Times New Roman" w:asciiTheme="minorEastAsia" w:hAnsiTheme="minorEastAsia"/>
          <w:kern w:val="0"/>
          <w:sz w:val="24"/>
          <w:szCs w:val="24"/>
          <w:highlight w:val="yellow"/>
        </w:rPr>
      </w:pPr>
      <w:r>
        <w:rPr>
          <w:rFonts w:cs="Times New Roman" w:asciiTheme="minorEastAsia" w:hAnsiTheme="minorEastAsia"/>
          <w:kern w:val="0"/>
          <w:sz w:val="24"/>
          <w:szCs w:val="24"/>
          <w:highlight w:val="none"/>
        </w:rPr>
        <w:t>公司始终本着“</w:t>
      </w:r>
      <w:r>
        <w:rPr>
          <w:rFonts w:hint="eastAsia" w:cs="Times New Roman" w:asciiTheme="minorEastAsia" w:hAnsiTheme="minorEastAsia"/>
          <w:kern w:val="0"/>
          <w:sz w:val="24"/>
          <w:szCs w:val="24"/>
          <w:highlight w:val="none"/>
          <w:lang w:eastAsia="zh-CN"/>
        </w:rPr>
        <w:t>让消费者满意、让合作者发展</w:t>
      </w:r>
      <w:r>
        <w:rPr>
          <w:rFonts w:hint="eastAsia" w:cs="Times New Roman" w:asciiTheme="minorEastAsia" w:hAnsiTheme="minorEastAsia"/>
          <w:kern w:val="0"/>
          <w:sz w:val="24"/>
          <w:szCs w:val="24"/>
          <w:highlight w:val="none"/>
        </w:rPr>
        <w:t>”的宗旨和“</w:t>
      </w:r>
      <w:r>
        <w:rPr>
          <w:rFonts w:hint="eastAsia" w:cs="Times New Roman" w:asciiTheme="minorEastAsia" w:hAnsiTheme="minorEastAsia"/>
          <w:kern w:val="0"/>
          <w:sz w:val="24"/>
          <w:szCs w:val="24"/>
          <w:highlight w:val="none"/>
          <w:lang w:eastAsia="zh-CN"/>
        </w:rPr>
        <w:t>诚信、 创新、务实、传承</w:t>
      </w:r>
      <w:r>
        <w:rPr>
          <w:rFonts w:hint="eastAsia" w:cs="Times New Roman" w:asciiTheme="minorEastAsia" w:hAnsiTheme="minorEastAsia"/>
          <w:kern w:val="0"/>
          <w:sz w:val="24"/>
          <w:szCs w:val="24"/>
          <w:highlight w:val="none"/>
        </w:rPr>
        <w:t>”</w:t>
      </w:r>
      <w:r>
        <w:rPr>
          <w:rFonts w:hint="eastAsia" w:cs="Times New Roman" w:asciiTheme="minorEastAsia" w:hAnsiTheme="minorEastAsia"/>
          <w:kern w:val="0"/>
          <w:sz w:val="24"/>
          <w:szCs w:val="24"/>
        </w:rPr>
        <w:t>的核心价值观，主营干燥剂包装，脱氧剂包装，食品包装以及日化包装等。公司拥有先进的印刷机、干复机、淋膜机、贴合机、检品机、分切机、制袋机等7条生产线固定设备，年产量10000吨，年产值2亿元人民币。公司营销网络辐射全国，现已成为广东喜之郎集团、香港四 洲集团、湖南口味王集团、小嵩化学、多连喜精细化工、广东广益科技、东莞天丽、南京天华科技、百草味、花仙子、妙管家、万马集团、艾博生物科技等企业的优秀供应商。</w:t>
      </w:r>
    </w:p>
    <w:p w14:paraId="02B82E6B">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公司自创立以来，得到了各级领导和社会各界朋友的关心和帮助，得到了各位</w:t>
      </w:r>
      <w:r>
        <w:rPr>
          <w:rFonts w:hint="eastAsia" w:cs="Times New Roman" w:asciiTheme="minorEastAsia" w:hAnsiTheme="minorEastAsia"/>
          <w:kern w:val="0"/>
          <w:sz w:val="24"/>
          <w:szCs w:val="24"/>
        </w:rPr>
        <w:t>客户</w:t>
      </w:r>
      <w:r>
        <w:rPr>
          <w:rFonts w:cs="Times New Roman" w:asciiTheme="minorEastAsia" w:hAnsiTheme="minorEastAsia"/>
          <w:kern w:val="0"/>
          <w:sz w:val="24"/>
          <w:szCs w:val="24"/>
        </w:rPr>
        <w:t>和供应商朋友的可贵支持，在此，我谨代表公司全体员工向关心和支持过我们公司发展的各位领导、各界朋友和全体新老客户表示最诚挚的谢意！</w:t>
      </w:r>
      <w:bookmarkStart w:id="5" w:name="_Toc13647"/>
      <w:bookmarkStart w:id="6" w:name="_Toc451594565"/>
      <w:bookmarkStart w:id="7" w:name="_Toc515451667"/>
      <w:bookmarkStart w:id="8" w:name="_Toc451594566"/>
    </w:p>
    <w:p w14:paraId="375C893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（三）公司简介</w:t>
      </w:r>
      <w:bookmarkEnd w:id="5"/>
      <w:bookmarkEnd w:id="6"/>
      <w:bookmarkEnd w:id="7"/>
    </w:p>
    <w:bookmarkEnd w:id="8"/>
    <w:p w14:paraId="15DA9C1D">
      <w:pPr>
        <w:pStyle w:val="19"/>
        <w:spacing w:line="360" w:lineRule="auto"/>
        <w:ind w:firstLine="439" w:firstLineChars="183"/>
        <w:jc w:val="left"/>
        <w:rPr>
          <w:rFonts w:hint="eastAsia" w:ascii="宋体" w:hAnsi="宋体"/>
          <w:szCs w:val="24"/>
          <w:highlight w:val="none"/>
          <w:lang w:eastAsia="zh-CN"/>
        </w:rPr>
      </w:pPr>
      <w:bookmarkStart w:id="9" w:name="_Toc515451669"/>
      <w:bookmarkStart w:id="10" w:name="_Toc451594567"/>
      <w:bookmarkStart w:id="11" w:name="_Toc8329"/>
      <w:r>
        <w:rPr>
          <w:rFonts w:hint="eastAsia" w:ascii="宋体" w:hAnsi="宋体"/>
          <w:szCs w:val="24"/>
          <w:highlight w:val="none"/>
          <w:lang w:eastAsia="zh-CN"/>
        </w:rPr>
        <w:t>杭州星点包装材料有限公司成立于2010年8月，公司位于美丽的富春江畔，占地面积34684平方米，注册资本1800万人民币。杭州星点包装材料有限公司是一家国内领先的事软包装材料生产行业高新技术企业，主营干燥剂包装，脱氧剂包装，食品包装以及日化包装等。公司拥有先进的印刷机、干复机、淋膜机、贴合机、检品机、分切机、制袋机等7条生产线固定设备，年产量10000吨，年产值2亿元人民币。</w:t>
      </w:r>
    </w:p>
    <w:p w14:paraId="083B6BFC">
      <w:pPr>
        <w:pStyle w:val="19"/>
        <w:spacing w:line="360" w:lineRule="auto"/>
        <w:ind w:firstLine="439" w:firstLineChars="183"/>
        <w:jc w:val="left"/>
        <w:rPr>
          <w:rFonts w:hint="eastAsia" w:ascii="宋体" w:hAnsi="宋体"/>
          <w:szCs w:val="24"/>
          <w:highlight w:val="none"/>
          <w:lang w:eastAsia="zh-CN"/>
        </w:rPr>
      </w:pPr>
      <w:r>
        <w:rPr>
          <w:rFonts w:hint="eastAsia" w:ascii="宋体" w:hAnsi="宋体"/>
          <w:szCs w:val="24"/>
          <w:highlight w:val="none"/>
          <w:lang w:eastAsia="zh-CN"/>
        </w:rPr>
        <w:t>公司以“打致力于为全球提供最优质新型包装材料产品”为使命， 向着“成为活性 （智能）包装材料全球领导者” 的愿景不懈奋斗，并向员工和相关方不断传递“诚信、 创新、务实、传承”的核心价值观。依靠从业10年以上、拥有丰富管理经验的管理团队，公司以每年超过30%的增速稳步向前发展。公司现有员工 280 余人， 其中拥有各类高、中级技术职称的专业技术人员 30 余人，并设有 560 平米的研发中心和 14000 多平米的生产调基地，具备独立设计开发制造机加工设备、自动化生产线、非标夹具的能力。</w:t>
      </w:r>
    </w:p>
    <w:p w14:paraId="5EE524D3">
      <w:pPr>
        <w:pStyle w:val="19"/>
        <w:spacing w:line="360" w:lineRule="auto"/>
        <w:ind w:firstLine="439" w:firstLineChars="183"/>
        <w:jc w:val="left"/>
        <w:rPr>
          <w:rFonts w:hint="eastAsia" w:ascii="宋体" w:hAnsi="宋体"/>
          <w:szCs w:val="24"/>
          <w:highlight w:val="none"/>
          <w:lang w:eastAsia="zh-CN"/>
        </w:rPr>
      </w:pPr>
      <w:r>
        <w:rPr>
          <w:rFonts w:hint="eastAsia" w:ascii="宋体" w:hAnsi="宋体"/>
          <w:szCs w:val="24"/>
          <w:highlight w:val="none"/>
          <w:lang w:eastAsia="zh-CN"/>
        </w:rPr>
        <w:t>公司注重技术研发和积累， 近三年累计研发投入 2093 万元，目前已取得发明专利 10 项，实用新型专利 37 项。先后成功开发“错位防尘脱氧剂包装”，“防油防水脱氧剂包装”等多种功能性包装材料，引导行业趋势并已广泛应用于食品，日化等领域。公司营销网络辐射全国，现已成为广东喜之郎集团、香港四 洲集团、湖南口味王集团、小嵩化学、多连喜精细化工、广东广益科技、东莞天丽、南京天华科技、百草味、花仙子、妙管家、万马集团、艾博生物科技等企业的优秀供应商。我司研发团队成功开发“尼克纸干燥剂包装”，具备极佳的耐穿刺性，耐撕裂性，可作为生石灰，矿物干燥剂，硅胶等优良包装材料。现已成为喜之郎集团干燥剂包材独家供应商。</w:t>
      </w:r>
    </w:p>
    <w:p w14:paraId="4F08F957">
      <w:pPr>
        <w:pStyle w:val="19"/>
        <w:spacing w:line="360" w:lineRule="auto"/>
        <w:ind w:firstLine="439" w:firstLineChars="183"/>
        <w:jc w:val="left"/>
        <w:rPr>
          <w:rFonts w:hint="eastAsia" w:ascii="宋体" w:hAnsi="宋体"/>
          <w:szCs w:val="24"/>
          <w:highlight w:val="none"/>
          <w:lang w:eastAsia="zh-CN"/>
        </w:rPr>
      </w:pPr>
      <w:r>
        <w:rPr>
          <w:rFonts w:hint="eastAsia" w:ascii="宋体" w:hAnsi="宋体"/>
          <w:szCs w:val="24"/>
          <w:highlight w:val="none"/>
          <w:lang w:eastAsia="zh-CN"/>
        </w:rPr>
        <w:t>近年来，公司经营成果斐然，先后获得“杭州市高新技术企业”、“富阳市企业高新技术研究开发中心”、“国家高新技术企业”、“浙江省专精特新中小企业”等荣誉称号。同时，公司推行ISO9001质量保证体系，拥有王研式透气仪、水汽（气体）透过率测定仪、恒温恒湿箱、气相色谱、摩擦系数测定仪、拉力仪等成套检验设备，确保产品品质。</w:t>
      </w:r>
    </w:p>
    <w:p w14:paraId="6FD13B6C">
      <w:pPr>
        <w:pStyle w:val="19"/>
        <w:spacing w:line="360" w:lineRule="auto"/>
        <w:ind w:firstLine="439" w:firstLineChars="183"/>
        <w:jc w:val="left"/>
        <w:rPr>
          <w:rFonts w:hint="eastAsia" w:ascii="宋体" w:hAnsi="宋体"/>
          <w:szCs w:val="24"/>
          <w:highlight w:val="none"/>
          <w:lang w:eastAsia="zh-CN"/>
        </w:rPr>
      </w:pPr>
      <w:r>
        <w:rPr>
          <w:rFonts w:hint="eastAsia" w:ascii="宋体" w:hAnsi="宋体"/>
          <w:szCs w:val="24"/>
          <w:highlight w:val="none"/>
          <w:lang w:eastAsia="zh-CN"/>
        </w:rPr>
        <w:t>公司将一如既往，以"让消费者满意、让合作者发展"作为现在、也是将来永远的宗旨，以成为活性（智能）包装材料全球领导者为目标，为创"星点包装"更辉煌的明天而努力拼搏。</w:t>
      </w:r>
    </w:p>
    <w:p w14:paraId="0E18B4C2">
      <w:pPr>
        <w:pStyle w:val="19"/>
        <w:spacing w:line="360" w:lineRule="auto"/>
        <w:ind w:firstLine="439" w:firstLineChars="183"/>
        <w:jc w:val="left"/>
        <w:rPr>
          <w:rFonts w:hint="eastAsia" w:ascii="宋体" w:hAnsi="宋体"/>
          <w:szCs w:val="24"/>
          <w:highlight w:val="none"/>
          <w:lang w:eastAsia="zh-CN"/>
        </w:rPr>
      </w:pPr>
      <w:r>
        <w:rPr>
          <w:rFonts w:hint="eastAsia" w:ascii="宋体" w:hAnsi="宋体"/>
          <w:szCs w:val="24"/>
          <w:highlight w:val="none"/>
          <w:lang w:eastAsia="zh-CN"/>
        </w:rPr>
        <w:t>全球经济一体化的趋势下，星点包装将继续深钻专业领域，提升自身技术高度，完善产品结构，优化全球服务网络平台朝着拥有国际先进技术和文化的企业方向迈进！</w:t>
      </w:r>
    </w:p>
    <w:p w14:paraId="7A7B5749">
      <w:pPr>
        <w:pStyle w:val="19"/>
        <w:spacing w:line="360" w:lineRule="auto"/>
        <w:ind w:left="0" w:leftChars="0" w:firstLine="0" w:firstLineChars="0"/>
        <w:jc w:val="left"/>
        <w:rPr>
          <w:rFonts w:hint="eastAsia" w:ascii="宋体" w:hAnsi="宋体"/>
          <w:szCs w:val="24"/>
          <w:highlight w:val="yellow"/>
          <w:lang w:eastAsia="zh-CN"/>
        </w:rPr>
      </w:pPr>
      <w:r>
        <w:drawing>
          <wp:inline distT="0" distB="0" distL="114300" distR="114300">
            <wp:extent cx="5937885" cy="2224405"/>
            <wp:effectExtent l="0" t="0" r="5715" b="444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5"/>
                    <a:stretch>
                      <a:fillRect/>
                    </a:stretch>
                  </pic:blipFill>
                  <pic:spPr>
                    <a:xfrm>
                      <a:off x="0" y="0"/>
                      <a:ext cx="5937885" cy="2224405"/>
                    </a:xfrm>
                    <a:prstGeom prst="rect">
                      <a:avLst/>
                    </a:prstGeom>
                    <a:noFill/>
                    <a:ln>
                      <a:noFill/>
                    </a:ln>
                  </pic:spPr>
                </pic:pic>
              </a:graphicData>
            </a:graphic>
          </wp:inline>
        </w:drawing>
      </w:r>
    </w:p>
    <w:p w14:paraId="1401E102">
      <w:pPr>
        <w:spacing w:line="360" w:lineRule="auto"/>
        <w:ind w:firstLine="480" w:firstLineChars="200"/>
        <w:outlineLvl w:val="0"/>
        <w:rPr>
          <w:rFonts w:cs="Times New Roman" w:asciiTheme="minorEastAsia" w:hAnsiTheme="minorEastAsia"/>
          <w:kern w:val="0"/>
          <w:sz w:val="24"/>
          <w:szCs w:val="24"/>
        </w:rPr>
      </w:pPr>
      <w:r>
        <w:rPr>
          <w:rFonts w:hint="eastAsia" w:cs="Times New Roman" w:asciiTheme="minorEastAsia" w:hAnsiTheme="minorEastAsia"/>
          <w:kern w:val="0"/>
          <w:sz w:val="24"/>
          <w:szCs w:val="24"/>
        </w:rPr>
        <w:t>二、企业质量管理</w:t>
      </w:r>
      <w:bookmarkEnd w:id="9"/>
      <w:bookmarkEnd w:id="10"/>
      <w:bookmarkEnd w:id="11"/>
    </w:p>
    <w:p w14:paraId="684A9022">
      <w:pPr>
        <w:spacing w:line="360" w:lineRule="auto"/>
        <w:ind w:firstLine="480" w:firstLineChars="200"/>
        <w:outlineLvl w:val="1"/>
        <w:rPr>
          <w:rFonts w:cs="Times New Roman" w:asciiTheme="minorEastAsia" w:hAnsiTheme="minorEastAsia"/>
          <w:kern w:val="0"/>
          <w:sz w:val="24"/>
          <w:szCs w:val="24"/>
        </w:rPr>
      </w:pPr>
      <w:bookmarkStart w:id="12" w:name="_Toc28792"/>
      <w:bookmarkStart w:id="13" w:name="_Toc515451668"/>
      <w:r>
        <w:rPr>
          <w:rFonts w:hint="eastAsia" w:cs="Times New Roman" w:asciiTheme="minorEastAsia" w:hAnsiTheme="minorEastAsia"/>
          <w:kern w:val="0"/>
          <w:sz w:val="24"/>
          <w:szCs w:val="24"/>
        </w:rPr>
        <w:t>（一）企业质量理念</w:t>
      </w:r>
      <w:bookmarkEnd w:id="12"/>
      <w:bookmarkEnd w:id="13"/>
    </w:p>
    <w:p w14:paraId="4F20B89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公司成立之初，便致力于打造高质量产品，将产品质量视为企业生存和发展的重要基石，</w:t>
      </w:r>
      <w:r>
        <w:rPr>
          <w:rFonts w:cs="Times New Roman" w:asciiTheme="minorEastAsia" w:hAnsiTheme="minorEastAsia"/>
          <w:kern w:val="0"/>
          <w:sz w:val="24"/>
          <w:szCs w:val="24"/>
        </w:rPr>
        <w:t>公司</w:t>
      </w:r>
      <w:r>
        <w:rPr>
          <w:rFonts w:hint="eastAsia" w:cs="Times New Roman" w:asciiTheme="minorEastAsia" w:hAnsiTheme="minorEastAsia"/>
          <w:kern w:val="0"/>
          <w:sz w:val="24"/>
          <w:szCs w:val="24"/>
        </w:rPr>
        <w:t>先后通过了</w:t>
      </w:r>
      <w:r>
        <w:rPr>
          <w:rFonts w:cs="Times New Roman" w:asciiTheme="minorEastAsia" w:hAnsiTheme="minorEastAsia"/>
          <w:kern w:val="0"/>
          <w:sz w:val="24"/>
          <w:szCs w:val="24"/>
          <w:highlight w:val="none"/>
        </w:rPr>
        <w:t>ISO9001</w:t>
      </w:r>
      <w:r>
        <w:rPr>
          <w:rFonts w:hint="eastAsia" w:cs="Times New Roman" w:asciiTheme="minorEastAsia" w:hAnsiTheme="minorEastAsia"/>
          <w:kern w:val="0"/>
          <w:sz w:val="24"/>
          <w:szCs w:val="24"/>
          <w:highlight w:val="none"/>
        </w:rPr>
        <w:t>、</w:t>
      </w:r>
      <w:r>
        <w:rPr>
          <w:rFonts w:cs="Times New Roman" w:asciiTheme="minorEastAsia" w:hAnsiTheme="minorEastAsia"/>
          <w:kern w:val="0"/>
          <w:sz w:val="24"/>
          <w:szCs w:val="24"/>
          <w:highlight w:val="none"/>
        </w:rPr>
        <w:t>ISO14001</w:t>
      </w:r>
      <w:r>
        <w:rPr>
          <w:rFonts w:hint="eastAsia" w:cs="Times New Roman" w:asciiTheme="minorEastAsia" w:hAnsiTheme="minorEastAsia"/>
          <w:kern w:val="0"/>
          <w:sz w:val="24"/>
          <w:szCs w:val="24"/>
          <w:highlight w:val="none"/>
        </w:rPr>
        <w:t>和</w:t>
      </w:r>
      <w:r>
        <w:rPr>
          <w:rFonts w:cs="Times New Roman" w:asciiTheme="minorEastAsia" w:hAnsiTheme="minorEastAsia"/>
          <w:kern w:val="0"/>
          <w:sz w:val="24"/>
          <w:szCs w:val="24"/>
          <w:highlight w:val="none"/>
        </w:rPr>
        <w:t>ISO45001</w:t>
      </w:r>
      <w:r>
        <w:rPr>
          <w:rFonts w:hint="eastAsia" w:cs="Times New Roman" w:asciiTheme="minorEastAsia" w:hAnsiTheme="minorEastAsia"/>
          <w:kern w:val="0"/>
          <w:sz w:val="24"/>
          <w:szCs w:val="24"/>
        </w:rPr>
        <w:t>管理体系的认证，产品实物质量达到国际领先水平。</w:t>
      </w:r>
      <w:r>
        <w:rPr>
          <w:rFonts w:hint="eastAsia" w:cs="Times New Roman" w:asciiTheme="minorEastAsia" w:hAnsiTheme="minorEastAsia"/>
          <w:kern w:val="0"/>
          <w:sz w:val="24"/>
          <w:szCs w:val="24"/>
          <w:highlight w:val="none"/>
          <w:lang w:eastAsia="zh-CN"/>
        </w:rPr>
        <w:t>星点包装</w:t>
      </w:r>
      <w:r>
        <w:rPr>
          <w:rFonts w:hint="eastAsia" w:cs="Times New Roman" w:asciiTheme="minorEastAsia" w:hAnsiTheme="minorEastAsia"/>
          <w:kern w:val="0"/>
          <w:sz w:val="24"/>
          <w:szCs w:val="24"/>
          <w:highlight w:val="none"/>
        </w:rPr>
        <w:t>的质量理念是“</w:t>
      </w:r>
      <w:r>
        <w:rPr>
          <w:rFonts w:hint="eastAsia" w:cs="Times New Roman" w:asciiTheme="minorEastAsia" w:hAnsiTheme="minorEastAsia"/>
          <w:kern w:val="0"/>
          <w:sz w:val="24"/>
          <w:szCs w:val="24"/>
          <w:highlight w:val="none"/>
          <w:lang w:eastAsia="zh-CN"/>
        </w:rPr>
        <w:t>精益求精，顾客满意；开拓创新，以人为本；追求卓越，以质为本；全员参与，持续改进。</w:t>
      </w:r>
      <w:r>
        <w:rPr>
          <w:rFonts w:hint="eastAsia" w:cs="Times New Roman" w:asciiTheme="minorEastAsia" w:hAnsiTheme="minorEastAsia"/>
          <w:kern w:val="0"/>
          <w:sz w:val="24"/>
          <w:szCs w:val="24"/>
          <w:highlight w:val="none"/>
        </w:rPr>
        <w:t>”</w:t>
      </w:r>
    </w:p>
    <w:p w14:paraId="1F7DFD5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w:t>
      </w:r>
      <w:r>
        <w:rPr>
          <w:rFonts w:cs="Times New Roman" w:asciiTheme="minorEastAsia" w:hAnsiTheme="minorEastAsia"/>
          <w:kern w:val="0"/>
          <w:sz w:val="24"/>
          <w:szCs w:val="24"/>
        </w:rPr>
        <w:t>严格按该国际质量管理体系执行，使企业产品的质量得到有力的保障，从而使企业的质量方针得以顺利推行。</w:t>
      </w:r>
      <w:r>
        <w:rPr>
          <w:rFonts w:hint="eastAsia" w:cs="Times New Roman" w:asciiTheme="minorEastAsia" w:hAnsiTheme="minorEastAsia"/>
          <w:kern w:val="0"/>
          <w:sz w:val="24"/>
          <w:szCs w:val="24"/>
        </w:rPr>
        <w:t>为从根本上加强质量管理，提高公司经营质量，公司更以卓越绩效模式的导入为契机，推行全面质量管理，运用质量统计工具，通过内部审核、自我评价、第三方审核或评价，不断寻找改进机会和持续改进的方式，迈向卓越的绩效。</w:t>
      </w:r>
      <w:r>
        <w:rPr>
          <w:rFonts w:cs="Times New Roman" w:asciiTheme="minorEastAsia" w:hAnsiTheme="minorEastAsia"/>
          <w:kern w:val="0"/>
          <w:sz w:val="24"/>
          <w:szCs w:val="24"/>
        </w:rPr>
        <w:t>自建厂以来，公司从未出现过重大质量投诉，在历年接受各级质量技术部门的抽检中，合格率均达</w:t>
      </w:r>
      <w:r>
        <w:rPr>
          <w:rFonts w:hint="eastAsia" w:cs="Times New Roman" w:asciiTheme="minorEastAsia" w:hAnsiTheme="minorEastAsia"/>
          <w:kern w:val="0"/>
          <w:sz w:val="24"/>
          <w:szCs w:val="24"/>
        </w:rPr>
        <w:t>99.5</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以上</w:t>
      </w:r>
      <w:r>
        <w:rPr>
          <w:rFonts w:cs="Times New Roman" w:asciiTheme="minorEastAsia" w:hAnsiTheme="minorEastAsia"/>
          <w:kern w:val="0"/>
          <w:sz w:val="24"/>
          <w:szCs w:val="24"/>
        </w:rPr>
        <w:t>。</w:t>
      </w:r>
    </w:p>
    <w:p w14:paraId="115C38D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公司通过会议、宣传栏、企业网站、微信公众号对企业文化、质量理念进行宣传。</w:t>
      </w:r>
    </w:p>
    <w:p w14:paraId="02E61BA0">
      <w:pPr>
        <w:spacing w:line="360" w:lineRule="auto"/>
        <w:ind w:firstLine="480" w:firstLineChars="200"/>
        <w:outlineLvl w:val="1"/>
        <w:rPr>
          <w:rFonts w:cs="Times New Roman" w:asciiTheme="minorEastAsia" w:hAnsiTheme="minorEastAsia"/>
          <w:kern w:val="0"/>
          <w:sz w:val="24"/>
          <w:szCs w:val="24"/>
        </w:rPr>
      </w:pPr>
      <w:bookmarkStart w:id="14" w:name="_Toc9290"/>
      <w:bookmarkStart w:id="15" w:name="_Toc515451670"/>
      <w:r>
        <w:rPr>
          <w:rFonts w:hint="eastAsia" w:cs="Times New Roman" w:asciiTheme="minorEastAsia" w:hAnsiTheme="minorEastAsia"/>
          <w:kern w:val="0"/>
          <w:sz w:val="24"/>
          <w:szCs w:val="24"/>
        </w:rPr>
        <w:t>（二）质量管理机构</w:t>
      </w:r>
      <w:bookmarkEnd w:id="14"/>
      <w:bookmarkEnd w:id="15"/>
    </w:p>
    <w:p w14:paraId="672C3CE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公司遵循质量管理“三不原则”：不接受不合格品、不制造不合格品，不流出不合格品。本着对产品质量的高度重视，公司建立质量负责人制度，制定了各料件、部件、产品的检验标准，并各司其职、相互沟通配合，从研发、采购、生产等各过程，加强产品质量把控。</w:t>
      </w:r>
      <w:bookmarkStart w:id="16" w:name="_Toc515451671"/>
    </w:p>
    <w:p w14:paraId="2F5E457D">
      <w:pPr>
        <w:spacing w:line="360" w:lineRule="auto"/>
        <w:ind w:firstLine="480" w:firstLineChars="200"/>
        <w:jc w:val="center"/>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rPr>
        <w:t>图1：</w:t>
      </w:r>
      <w:r>
        <w:rPr>
          <w:rFonts w:hint="eastAsia" w:cs="Times New Roman" w:asciiTheme="minorEastAsia" w:hAnsiTheme="minorEastAsia"/>
          <w:kern w:val="0"/>
          <w:sz w:val="24"/>
          <w:szCs w:val="24"/>
          <w:highlight w:val="none"/>
        </w:rPr>
        <w:t>质量、环境、职业健康安全管理体系组织架构图</w:t>
      </w:r>
    </w:p>
    <w:p w14:paraId="530CD0D0">
      <w:pPr>
        <w:spacing w:line="360" w:lineRule="auto"/>
        <w:ind w:firstLine="480" w:firstLineChars="200"/>
        <w:jc w:val="center"/>
        <w:rPr>
          <w:rFonts w:hint="eastAsia" w:cs="Times New Roman" w:asciiTheme="minorEastAsia" w:hAnsiTheme="minorEastAsia" w:eastAsiaTheme="minorEastAsia"/>
          <w:kern w:val="0"/>
          <w:sz w:val="24"/>
          <w:szCs w:val="24"/>
          <w:highlight w:val="none"/>
          <w:lang w:eastAsia="zh-CN"/>
        </w:rPr>
      </w:pPr>
      <w:r>
        <w:rPr>
          <w:rFonts w:hint="eastAsia" w:cs="Times New Roman" w:asciiTheme="minorEastAsia" w:hAnsiTheme="minorEastAsia"/>
          <w:kern w:val="0"/>
          <w:sz w:val="24"/>
          <w:szCs w:val="24"/>
          <w:highlight w:val="none"/>
          <w:lang w:eastAsia="zh-CN"/>
        </w:rPr>
        <w:t>杭州星点包装材料有限公司</w:t>
      </w:r>
    </w:p>
    <w:p w14:paraId="69F4A581">
      <w:pPr>
        <w:spacing w:line="360" w:lineRule="auto"/>
        <w:jc w:val="center"/>
        <w:rPr>
          <w:rFonts w:cs="Times New Roman" w:asciiTheme="minorEastAsia" w:hAnsiTheme="minorEastAsia"/>
          <w:kern w:val="0"/>
          <w:sz w:val="24"/>
          <w:szCs w:val="24"/>
        </w:rPr>
      </w:pPr>
      <w:r>
        <w:drawing>
          <wp:inline distT="0" distB="0" distL="114300" distR="114300">
            <wp:extent cx="6151880" cy="33121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6151880" cy="3312160"/>
                    </a:xfrm>
                    <a:prstGeom prst="rect">
                      <a:avLst/>
                    </a:prstGeom>
                    <a:noFill/>
                    <a:ln>
                      <a:noFill/>
                    </a:ln>
                  </pic:spPr>
                </pic:pic>
              </a:graphicData>
            </a:graphic>
          </wp:inline>
        </w:drawing>
      </w:r>
    </w:p>
    <w:p w14:paraId="33C045D2">
      <w:pPr>
        <w:spacing w:line="360" w:lineRule="auto"/>
        <w:ind w:firstLine="480" w:firstLineChars="200"/>
        <w:outlineLvl w:val="1"/>
        <w:rPr>
          <w:rFonts w:cs="Times New Roman" w:asciiTheme="minorEastAsia" w:hAnsiTheme="minorEastAsia"/>
          <w:kern w:val="0"/>
          <w:sz w:val="24"/>
          <w:szCs w:val="24"/>
        </w:rPr>
      </w:pPr>
      <w:bookmarkStart w:id="17" w:name="_Toc21673"/>
      <w:r>
        <w:rPr>
          <w:rFonts w:hint="eastAsia" w:cs="Times New Roman" w:asciiTheme="minorEastAsia" w:hAnsiTheme="minorEastAsia"/>
          <w:kern w:val="0"/>
          <w:sz w:val="24"/>
          <w:szCs w:val="24"/>
        </w:rPr>
        <w:t>（三）质量管理体系</w:t>
      </w:r>
      <w:bookmarkEnd w:id="16"/>
      <w:bookmarkEnd w:id="17"/>
    </w:p>
    <w:p w14:paraId="1EFBED8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公司自引入ISO9001质量管理体系以来，“</w:t>
      </w:r>
      <w:r>
        <w:rPr>
          <w:rFonts w:hint="eastAsia" w:cs="Times New Roman" w:asciiTheme="minorEastAsia" w:hAnsiTheme="minorEastAsia"/>
          <w:kern w:val="0"/>
          <w:sz w:val="24"/>
          <w:szCs w:val="24"/>
          <w:highlight w:val="none"/>
          <w:lang w:eastAsia="zh-CN"/>
        </w:rPr>
        <w:t>精益求精，顾客满意；开拓创新，以人为本；追求卓越，以质为本；全员参与，持续改进。</w:t>
      </w:r>
      <w:r>
        <w:rPr>
          <w:rFonts w:hint="eastAsia" w:cs="Times New Roman" w:asciiTheme="minorEastAsia" w:hAnsiTheme="minorEastAsia"/>
          <w:kern w:val="0"/>
          <w:sz w:val="24"/>
          <w:szCs w:val="24"/>
        </w:rPr>
        <w:t>”为质量方针，围绕公司系列产品的设计、开发生产和销售过程，按ISO9001：201</w:t>
      </w:r>
      <w:r>
        <w:rPr>
          <w:rFonts w:cs="Times New Roman" w:asciiTheme="minorEastAsia" w:hAnsiTheme="minorEastAsia"/>
          <w:kern w:val="0"/>
          <w:sz w:val="24"/>
          <w:szCs w:val="24"/>
        </w:rPr>
        <w:t>6</w:t>
      </w:r>
      <w:r>
        <w:rPr>
          <w:rFonts w:hint="eastAsia" w:cs="Times New Roman" w:asciiTheme="minorEastAsia" w:hAnsiTheme="minorEastAsia"/>
          <w:kern w:val="0"/>
          <w:sz w:val="24"/>
          <w:szCs w:val="24"/>
        </w:rPr>
        <w:t>建立质量管理体系，形成了质量手册、程序文件和其他质量文件等，加以实施和保持，并持续改进有效性。</w:t>
      </w:r>
    </w:p>
    <w:p w14:paraId="61B81026">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1、质量管理体系方针与目标</w:t>
      </w:r>
    </w:p>
    <w:p w14:paraId="0F8E9E9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从导入ISO9001质量管理体系，坚持产品质量的“安全可靠，持续改进”，到导入卓越绩效管理模式，推行全面质量管理，坚持“科学管理、规范生产、质量第一、顾客满意，预防为主、安全环保、遵纪守法、持续改进”，公司建立了以战略为核心，以GB/T 19580卓越绩效模式为框架的整合型全面质量管理体系，满足了顾客、股东、员工、供应商、社会和合作伙伴六大利益相关方的要求，在公司各层次建立了相应的战略规划、质量目标，并以公司绩效考核体系为依托，设立了质量考核KPI目标和质量问责制。</w:t>
      </w:r>
    </w:p>
    <w:p w14:paraId="3AA8DFD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1.1质量方针：</w:t>
      </w:r>
    </w:p>
    <w:p w14:paraId="1B21BAD3">
      <w:pPr>
        <w:spacing w:line="360" w:lineRule="auto"/>
        <w:ind w:firstLine="480" w:firstLineChars="200"/>
        <w:rPr>
          <w:rFonts w:hint="eastAsia" w:cs="Times New Roman" w:asciiTheme="minorEastAsia" w:hAnsiTheme="minorEastAsia" w:eastAsiaTheme="minorEastAsia"/>
          <w:kern w:val="0"/>
          <w:sz w:val="24"/>
          <w:szCs w:val="24"/>
          <w:highlight w:val="none"/>
          <w:lang w:eastAsia="zh-CN"/>
        </w:rPr>
      </w:pPr>
      <w:r>
        <w:rPr>
          <w:rFonts w:hint="eastAsia" w:cs="Times New Roman" w:asciiTheme="minorEastAsia" w:hAnsiTheme="minorEastAsia"/>
          <w:kern w:val="0"/>
          <w:sz w:val="24"/>
          <w:szCs w:val="24"/>
          <w:highlight w:val="none"/>
          <w:lang w:eastAsia="zh-CN"/>
        </w:rPr>
        <w:t>精益求精，顾客满意；开拓创新，以人为本；追求卓越，以质为本；全员参与，持续改进。</w:t>
      </w:r>
    </w:p>
    <w:p w14:paraId="3B55927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质量方针理解：</w:t>
      </w:r>
    </w:p>
    <w:p w14:paraId="2C5EFC5A">
      <w:pPr>
        <w:spacing w:line="360" w:lineRule="auto"/>
        <w:ind w:firstLine="480" w:firstLineChars="200"/>
        <w:rPr>
          <w:rFonts w:hint="eastAsia" w:cs="Times New Roman" w:asciiTheme="minorEastAsia" w:hAnsiTheme="minorEastAsia"/>
          <w:kern w:val="0"/>
          <w:sz w:val="24"/>
          <w:szCs w:val="24"/>
          <w:highlight w:val="none"/>
        </w:rPr>
      </w:pPr>
      <w:r>
        <w:rPr>
          <w:rFonts w:hint="eastAsia" w:cs="Times New Roman" w:asciiTheme="minorEastAsia" w:hAnsiTheme="minorEastAsia"/>
          <w:kern w:val="0"/>
          <w:sz w:val="24"/>
          <w:szCs w:val="24"/>
          <w:highlight w:val="none"/>
        </w:rPr>
        <w:t>本公司紧紧依托质量全管理体系，围绕服务市场、服务社会、服务员工为中心，遵守国家有关的法律、法规和其他要求，组织全体员工参与，积极开展企业经营活动，明确以顾客需求为导向，以服务顾客为重心，以顾客满意为宗旨，持续改进管理水平，使公司的综合效益即经济效益、社会效益和职工效益的统一落到实处，从而更有效的争创名牌。</w:t>
      </w:r>
    </w:p>
    <w:p w14:paraId="2FFD140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质量诚信方针 ：</w:t>
      </w:r>
    </w:p>
    <w:p w14:paraId="643957A1">
      <w:pPr>
        <w:spacing w:line="360" w:lineRule="auto"/>
        <w:ind w:firstLine="480" w:firstLineChars="200"/>
        <w:rPr>
          <w:rFonts w:hint="eastAsia" w:cs="Times New Roman" w:asciiTheme="minorEastAsia" w:hAnsiTheme="minorEastAsia" w:eastAsiaTheme="minorEastAsia"/>
          <w:kern w:val="0"/>
          <w:sz w:val="24"/>
          <w:szCs w:val="24"/>
          <w:highlight w:val="none"/>
          <w:lang w:eastAsia="zh-CN"/>
        </w:rPr>
      </w:pPr>
      <w:r>
        <w:rPr>
          <w:rFonts w:hint="eastAsia" w:cs="Times New Roman" w:asciiTheme="minorEastAsia" w:hAnsiTheme="minorEastAsia"/>
          <w:kern w:val="0"/>
          <w:sz w:val="24"/>
          <w:szCs w:val="24"/>
          <w:highlight w:val="none"/>
        </w:rPr>
        <w:t>守法、务实、诚信。</w:t>
      </w:r>
    </w:p>
    <w:p w14:paraId="5B6D6AE9">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2、质量教育</w:t>
      </w:r>
    </w:p>
    <w:p w14:paraId="691A69D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在体系运行过程中，公司运用各种科学、有效的方法，测量、分析、改进，基于PDCA的系统方法，不断持续改善。公司运用多种工具，持续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p>
    <w:p w14:paraId="1CF27CE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为牢固树立全体员工的诚信意识，公司每年年初制定本年度的教育培训计划。各部门负责人根据公司要求，编制教育培训计划和内容，认真组织下属的教育培训。各车间主任负责班组长及员工的诚信宣传教育工作。公司通过专题培训、书面文字进行张贴或传达、质量诚信先进员工经验交流、利用图片展示等多种方式对企业员工实施质量诚信教育。</w:t>
      </w:r>
    </w:p>
    <w:p w14:paraId="1A3A659C">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3、质量法规及责任制度</w:t>
      </w:r>
    </w:p>
    <w:p w14:paraId="47DBF62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收集法律法规及其它标准、要求，制定内部相关标准，使产品达到国家法律法规和国家、行业标准的要求（部分指标超过外部要求），从产品技术上践行社会责任。同时，公司制定了《管理方针》《质量/环境/职业健康安全管理体系策划》、《管理方案》，对产品质量控制明确责任，遵循对质量事故不放过原则。</w:t>
      </w:r>
    </w:p>
    <w:p w14:paraId="6BFE6C6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公司在新产品、新技术研发过程中，积极识别收集法律、法规、行业与产品标准、知识产权风险规避及合规性进行评价，以满足法律、法规以及客户的要求与期望。</w:t>
      </w:r>
    </w:p>
    <w:p w14:paraId="5D9AEE21">
      <w:pPr>
        <w:spacing w:line="360" w:lineRule="auto"/>
        <w:ind w:firstLine="480" w:firstLineChars="20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表1：公司所遵守的质量标准和其他相关法律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88"/>
      </w:tblGrid>
      <w:tr w14:paraId="23FA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1276" w:type="dxa"/>
            <w:tcBorders>
              <w:bottom w:val="single" w:color="auto" w:sz="4" w:space="0"/>
            </w:tcBorders>
            <w:vAlign w:val="center"/>
          </w:tcPr>
          <w:p w14:paraId="34F533C9">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类 别</w:t>
            </w:r>
          </w:p>
        </w:tc>
        <w:tc>
          <w:tcPr>
            <w:tcW w:w="7088" w:type="dxa"/>
            <w:tcBorders>
              <w:bottom w:val="single" w:color="auto" w:sz="4" w:space="0"/>
            </w:tcBorders>
            <w:vAlign w:val="center"/>
          </w:tcPr>
          <w:p w14:paraId="58F6DFC2">
            <w:pPr>
              <w:spacing w:line="360" w:lineRule="auto"/>
              <w:ind w:firstLine="480" w:firstLineChars="200"/>
              <w:jc w:val="center"/>
              <w:rPr>
                <w:rFonts w:cs="Times New Roman" w:asciiTheme="minorEastAsia" w:hAnsiTheme="minorEastAsia"/>
                <w:kern w:val="0"/>
                <w:sz w:val="24"/>
                <w:szCs w:val="24"/>
              </w:rPr>
            </w:pPr>
            <w:r>
              <w:rPr>
                <w:rFonts w:cs="Times New Roman" w:asciiTheme="minorEastAsia" w:hAnsiTheme="minorEastAsia"/>
                <w:kern w:val="0"/>
                <w:sz w:val="24"/>
                <w:szCs w:val="24"/>
              </w:rPr>
              <w:t>内  容</w:t>
            </w:r>
          </w:p>
        </w:tc>
      </w:tr>
      <w:tr w14:paraId="3091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76" w:type="dxa"/>
            <w:vAlign w:val="center"/>
          </w:tcPr>
          <w:p w14:paraId="5B3FEE3F">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员工权益</w:t>
            </w:r>
          </w:p>
          <w:p w14:paraId="13B7B59F">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社会责任</w:t>
            </w:r>
          </w:p>
        </w:tc>
        <w:tc>
          <w:tcPr>
            <w:tcW w:w="7088" w:type="dxa"/>
            <w:vAlign w:val="center"/>
          </w:tcPr>
          <w:p w14:paraId="01CCAA97">
            <w:pPr>
              <w:spacing w:line="360" w:lineRule="auto"/>
              <w:rPr>
                <w:rFonts w:cs="Times New Roman" w:asciiTheme="minorEastAsia" w:hAnsiTheme="minorEastAsia"/>
                <w:kern w:val="0"/>
                <w:sz w:val="24"/>
                <w:szCs w:val="24"/>
              </w:rPr>
            </w:pPr>
            <w:r>
              <w:rPr>
                <w:rFonts w:cs="Times New Roman" w:asciiTheme="minorEastAsia" w:hAnsiTheme="minorEastAsia"/>
                <w:kern w:val="0"/>
                <w:sz w:val="24"/>
                <w:szCs w:val="24"/>
              </w:rPr>
              <w:t>《劳动法》、《工会法》、《消费者权益保护法》、《环境保护法》、《安全生产法》、《职业病防治法》、</w:t>
            </w:r>
            <w:r>
              <w:rPr>
                <w:rFonts w:cs="Times New Roman" w:asciiTheme="minorEastAsia" w:hAnsiTheme="minorEastAsia"/>
                <w:kern w:val="0"/>
                <w:sz w:val="24"/>
                <w:szCs w:val="24"/>
                <w:highlight w:val="none"/>
              </w:rPr>
              <w:t>ISO9001</w:t>
            </w:r>
            <w:r>
              <w:rPr>
                <w:rFonts w:hint="eastAsia" w:cs="Times New Roman" w:asciiTheme="minorEastAsia" w:hAnsiTheme="minorEastAsia"/>
                <w:kern w:val="0"/>
                <w:sz w:val="24"/>
                <w:szCs w:val="24"/>
                <w:highlight w:val="none"/>
              </w:rPr>
              <w:t>标准</w:t>
            </w:r>
            <w:r>
              <w:rPr>
                <w:rFonts w:cs="Times New Roman" w:asciiTheme="minorEastAsia" w:hAnsiTheme="minorEastAsia"/>
                <w:kern w:val="0"/>
                <w:sz w:val="24"/>
                <w:szCs w:val="24"/>
                <w:highlight w:val="none"/>
              </w:rPr>
              <w:t>、ISO14001标准、ISO45001标准等</w:t>
            </w:r>
          </w:p>
        </w:tc>
      </w:tr>
      <w:tr w14:paraId="0D49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76" w:type="dxa"/>
            <w:vAlign w:val="center"/>
          </w:tcPr>
          <w:p w14:paraId="2F6F2C33">
            <w:pPr>
              <w:spacing w:line="360" w:lineRule="auto"/>
              <w:jc w:val="center"/>
              <w:rPr>
                <w:rFonts w:cs="Times New Roman" w:asciiTheme="minorEastAsia" w:hAnsiTheme="minorEastAsia"/>
                <w:kern w:val="0"/>
                <w:sz w:val="24"/>
                <w:szCs w:val="24"/>
              </w:rPr>
            </w:pPr>
            <w:r>
              <w:rPr>
                <w:rFonts w:cs="Times New Roman" w:asciiTheme="minorEastAsia" w:hAnsiTheme="minorEastAsia"/>
                <w:kern w:val="0"/>
                <w:sz w:val="24"/>
                <w:szCs w:val="24"/>
              </w:rPr>
              <w:t>产品标准执行与制定</w:t>
            </w:r>
          </w:p>
        </w:tc>
        <w:tc>
          <w:tcPr>
            <w:tcW w:w="7088" w:type="dxa"/>
            <w:vAlign w:val="center"/>
          </w:tcPr>
          <w:p w14:paraId="3CEFB543">
            <w:pPr>
              <w:spacing w:line="360" w:lineRule="auto"/>
              <w:rPr>
                <w:rFonts w:cs="Times New Roman" w:asciiTheme="minorEastAsia" w:hAnsiTheme="minorEastAsia"/>
                <w:kern w:val="0"/>
                <w:sz w:val="24"/>
                <w:szCs w:val="24"/>
              </w:rPr>
            </w:pPr>
            <w:r>
              <w:rPr>
                <w:rFonts w:hint="eastAsia" w:cs="Times New Roman" w:asciiTheme="minorEastAsia" w:hAnsiTheme="minorEastAsia"/>
                <w:kern w:val="0"/>
                <w:sz w:val="24"/>
                <w:szCs w:val="24"/>
              </w:rPr>
              <w:t>“品字标浙江制造”团体</w:t>
            </w:r>
            <w:r>
              <w:rPr>
                <w:rFonts w:hint="eastAsia" w:cs="Times New Roman" w:asciiTheme="minorEastAsia" w:hAnsiTheme="minorEastAsia"/>
                <w:kern w:val="0"/>
                <w:sz w:val="24"/>
                <w:szCs w:val="24"/>
                <w:highlight w:val="none"/>
              </w:rPr>
              <w:t>标准</w:t>
            </w:r>
            <w:bookmarkStart w:id="18" w:name="_Hlk112429142"/>
            <w:r>
              <w:rPr>
                <w:rFonts w:hint="eastAsia" w:cs="Times New Roman" w:asciiTheme="minorEastAsia" w:hAnsiTheme="minorEastAsia"/>
                <w:kern w:val="0"/>
                <w:sz w:val="24"/>
                <w:szCs w:val="24"/>
                <w:highlight w:val="none"/>
                <w:lang w:eastAsia="zh-CN"/>
              </w:rPr>
              <w:t>3494—2023《食品包装用双向拉伸聚丙烯/聚酰胺/聚乙烯复合膜》</w:t>
            </w:r>
            <w:r>
              <w:rPr>
                <w:rFonts w:hint="eastAsia" w:cs="Times New Roman" w:asciiTheme="minorEastAsia" w:hAnsiTheme="minorEastAsia"/>
                <w:kern w:val="0"/>
                <w:sz w:val="24"/>
                <w:szCs w:val="24"/>
              </w:rPr>
              <w:t>等</w:t>
            </w:r>
            <w:bookmarkEnd w:id="18"/>
            <w:r>
              <w:rPr>
                <w:rFonts w:hint="eastAsia" w:cs="Times New Roman" w:asciiTheme="minorEastAsia" w:hAnsiTheme="minorEastAsia"/>
                <w:kern w:val="0"/>
                <w:sz w:val="24"/>
                <w:szCs w:val="24"/>
              </w:rPr>
              <w:t>。</w:t>
            </w:r>
          </w:p>
        </w:tc>
      </w:tr>
    </w:tbl>
    <w:p w14:paraId="1E18F8F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公司制定了《内部质量审核程序》、《管理评审控制程序》，并培养内审员团队，为确保体系运行的有效性和持续改进，安排了内审、过程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14:paraId="162ED73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制定了《不合格品控制程序》程序对不合格品进行了严格管控。公司对不合格品应进行标识（如经检验、试验或验证的原材料、外购件等未满足规定要求的）。返工产品返工后要进行再检测，符合规定才可转序或入库、交付。对达不到要求的降级处理或报废。当在交付或开始使用后发现不合格品时，本公司针对不合格品情况，进行分析，并采取与不合格影响或潜在影响程度相适应的的措施，并采取纠正产品进行再次验证，以证实符合要求。</w:t>
      </w:r>
    </w:p>
    <w:p w14:paraId="43A04A0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此外，公司还制定了《质量环境安全管理手册》、《持续改进控制程序》等制度，对出现的质量问题进行问责和教育，并在日常研发、生产作业中，强调系统化，通过品管圈、持续改善等活动及质量工具的展开，充分应用PDCA循环，持续改善，追求卓越。</w:t>
      </w:r>
    </w:p>
    <w:p w14:paraId="086B1441">
      <w:pPr>
        <w:spacing w:line="360" w:lineRule="auto"/>
        <w:ind w:firstLine="480" w:firstLineChars="200"/>
        <w:outlineLvl w:val="1"/>
        <w:rPr>
          <w:rFonts w:cs="Times New Roman" w:asciiTheme="minorEastAsia" w:hAnsiTheme="minorEastAsia"/>
          <w:kern w:val="0"/>
          <w:sz w:val="24"/>
          <w:szCs w:val="24"/>
        </w:rPr>
      </w:pPr>
      <w:bookmarkStart w:id="19" w:name="_Toc31735"/>
      <w:bookmarkStart w:id="20" w:name="_Toc451594568"/>
      <w:bookmarkStart w:id="21" w:name="_Toc515451673"/>
      <w:r>
        <w:rPr>
          <w:rFonts w:hint="eastAsia" w:cs="Times New Roman" w:asciiTheme="minorEastAsia" w:hAnsiTheme="minorEastAsia"/>
          <w:kern w:val="0"/>
          <w:sz w:val="24"/>
          <w:szCs w:val="24"/>
        </w:rPr>
        <w:t>（四）质量诚信管理</w:t>
      </w:r>
      <w:bookmarkEnd w:id="19"/>
      <w:bookmarkEnd w:id="20"/>
      <w:bookmarkEnd w:id="21"/>
    </w:p>
    <w:p w14:paraId="56C1B7EE">
      <w:pPr>
        <w:spacing w:line="360" w:lineRule="auto"/>
        <w:ind w:firstLine="480" w:firstLineChars="200"/>
        <w:outlineLvl w:val="2"/>
        <w:rPr>
          <w:rFonts w:cs="Times New Roman" w:asciiTheme="minorEastAsia" w:hAnsiTheme="minorEastAsia"/>
          <w:kern w:val="0"/>
          <w:sz w:val="24"/>
          <w:szCs w:val="24"/>
        </w:rPr>
      </w:pPr>
      <w:bookmarkStart w:id="22" w:name="_Toc515451674"/>
      <w:r>
        <w:rPr>
          <w:rFonts w:hint="eastAsia" w:cs="Times New Roman" w:asciiTheme="minorEastAsia" w:hAnsiTheme="minorEastAsia"/>
          <w:kern w:val="0"/>
          <w:sz w:val="24"/>
          <w:szCs w:val="24"/>
        </w:rPr>
        <w:t>1、质量承诺</w:t>
      </w:r>
      <w:bookmarkEnd w:id="22"/>
    </w:p>
    <w:p w14:paraId="7AE77F8F">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a）诚信守法</w:t>
      </w:r>
    </w:p>
    <w:p w14:paraId="19BE7C4A">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高层领导遵循“</w:t>
      </w:r>
      <w:r>
        <w:rPr>
          <w:rFonts w:hint="eastAsia" w:cs="Times New Roman" w:asciiTheme="minorEastAsia" w:hAnsiTheme="minorEastAsia"/>
          <w:kern w:val="0"/>
          <w:sz w:val="24"/>
          <w:szCs w:val="24"/>
        </w:rPr>
        <w:t>合作重于竞争</w:t>
      </w:r>
      <w:r>
        <w:rPr>
          <w:rFonts w:cs="Times New Roman" w:asciiTheme="minorEastAsia" w:hAnsiTheme="minorEastAsia"/>
          <w:kern w:val="0"/>
          <w:sz w:val="24"/>
          <w:szCs w:val="24"/>
        </w:rPr>
        <w:t>”的</w:t>
      </w:r>
      <w:r>
        <w:rPr>
          <w:rFonts w:hint="eastAsia" w:cs="Times New Roman" w:asciiTheme="minorEastAsia" w:hAnsiTheme="minorEastAsia"/>
          <w:kern w:val="0"/>
          <w:sz w:val="24"/>
          <w:szCs w:val="24"/>
        </w:rPr>
        <w:t>经营</w:t>
      </w:r>
      <w:r>
        <w:rPr>
          <w:rFonts w:cs="Times New Roman" w:asciiTheme="minorEastAsia" w:hAnsiTheme="minorEastAsia"/>
          <w:kern w:val="0"/>
          <w:sz w:val="24"/>
          <w:szCs w:val="24"/>
        </w:rPr>
        <w:t>理念，严格遵循《公司法》、《经济法》、《产品质量法》、《安全生产法》、《环保法》、《劳动法》以及</w:t>
      </w:r>
      <w:r>
        <w:rPr>
          <w:rFonts w:hint="eastAsia" w:cs="Times New Roman" w:asciiTheme="minorEastAsia" w:hAnsiTheme="minorEastAsia"/>
          <w:kern w:val="0"/>
          <w:sz w:val="24"/>
          <w:szCs w:val="24"/>
          <w:highlight w:val="none"/>
          <w:lang w:val="en-US" w:eastAsia="zh-CN"/>
        </w:rPr>
        <w:t>软包装</w:t>
      </w:r>
      <w:r>
        <w:rPr>
          <w:rFonts w:cs="Times New Roman" w:asciiTheme="minorEastAsia" w:hAnsiTheme="minorEastAsia"/>
          <w:kern w:val="0"/>
          <w:sz w:val="24"/>
          <w:szCs w:val="24"/>
        </w:rPr>
        <w:t>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14:paraId="3C8E4DE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b）满足客户需求</w:t>
      </w:r>
    </w:p>
    <w:p w14:paraId="6794B1E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高度重视技术研发，加强了研发力量的投入，以客户需求为中心，积极听取客户关于功能、质量、配置等方面的意见和建议，开展产品改进和创新活动，满足客户对产品和交期的需求。在产品质量方面，公司严格执行ISO9001质量管理体系，通过开展技术攻关、质量改进、QC小组等活动，保障产品质量安全。</w:t>
      </w:r>
    </w:p>
    <w:p w14:paraId="624E4C47">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2、质量管理</w:t>
      </w:r>
    </w:p>
    <w:p w14:paraId="5F5276F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--质量监测</w:t>
      </w:r>
    </w:p>
    <w:p w14:paraId="3CD35DA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公司应对以下内容的数据进行收集与分析：</w:t>
      </w:r>
    </w:p>
    <w:p w14:paraId="6F76336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a.顾客满意程度调查表进行统计分析。</w:t>
      </w:r>
    </w:p>
    <w:p w14:paraId="7377AE7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b.过程产品、最终产品质量是否达到了规定的管理目标要求。</w:t>
      </w:r>
    </w:p>
    <w:p w14:paraId="49D6327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c.与顾客、法律法规及标准要求的符合程度。</w:t>
      </w:r>
    </w:p>
    <w:p w14:paraId="1E1CB1D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d.供方的产品质量情况。</w:t>
      </w:r>
    </w:p>
    <w:p w14:paraId="67FA2B5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e.环境/安全监测的结果，以及不符合的发生，包括事故、事件等，必要时也应进行统计分析，以利于采取纠正和预防措施。</w:t>
      </w:r>
    </w:p>
    <w:p w14:paraId="6740E82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f.管理目标的实施情况。</w:t>
      </w:r>
    </w:p>
    <w:p w14:paraId="04FD765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--质量追溯</w:t>
      </w:r>
    </w:p>
    <w:p w14:paraId="76BA978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公司每年组织进行管理评审会议，评审质量、环境、职业健康安全等管理体系的适宜性、充分性和有效性，达到持续不断完善管理体系，确保公司体系方针和目标的实现，满足相关方要求。</w:t>
      </w:r>
    </w:p>
    <w:p w14:paraId="1E541FD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--质量分析</w:t>
      </w:r>
    </w:p>
    <w:p w14:paraId="7E9FE0C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公司通过统计口径、财务报表、专题会议等多种渠道全面收集、整理和测量产品质量的数据和信息，并对数据和信息进行分析，制定相应的改进措施。</w:t>
      </w:r>
    </w:p>
    <w:p w14:paraId="3A93879A">
      <w:pPr>
        <w:spacing w:line="360" w:lineRule="auto"/>
        <w:ind w:firstLine="480" w:firstLineChars="200"/>
        <w:outlineLvl w:val="2"/>
        <w:rPr>
          <w:rFonts w:cs="Times New Roman" w:asciiTheme="minorEastAsia" w:hAnsiTheme="minorEastAsia"/>
          <w:kern w:val="0"/>
          <w:sz w:val="24"/>
          <w:szCs w:val="24"/>
        </w:rPr>
      </w:pPr>
      <w:bookmarkStart w:id="23" w:name="_Toc515451675"/>
      <w:r>
        <w:rPr>
          <w:rFonts w:hint="eastAsia" w:cs="Times New Roman" w:asciiTheme="minorEastAsia" w:hAnsiTheme="minorEastAsia"/>
          <w:kern w:val="0"/>
          <w:sz w:val="24"/>
          <w:szCs w:val="24"/>
        </w:rPr>
        <w:t>3、运作管理</w:t>
      </w:r>
      <w:bookmarkEnd w:id="23"/>
    </w:p>
    <w:p w14:paraId="57CEE13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a）产品设计诚信管理</w:t>
      </w:r>
    </w:p>
    <w:p w14:paraId="2FF5065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公司产品设计与研发严格依照《设计与开发控制程序》从研发策划、过程各类活动记录、设计和开发输出、评审相关的整个过程。</w:t>
      </w:r>
    </w:p>
    <w:p w14:paraId="04588BC6">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b）原材料采购诚信管理</w:t>
      </w:r>
    </w:p>
    <w:p w14:paraId="560114F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企业根据物料对产品质量的风险程度，将物料分为A重要物资、B</w:t>
      </w:r>
      <w:r>
        <w:rPr>
          <w:rFonts w:hint="eastAsia" w:hAnsi="宋体"/>
          <w:bCs/>
          <w:sz w:val="24"/>
          <w:szCs w:val="24"/>
        </w:rPr>
        <w:t>一般物资</w:t>
      </w:r>
      <w:r>
        <w:rPr>
          <w:rFonts w:hint="eastAsia" w:cs="Times New Roman" w:asciiTheme="minorEastAsia" w:hAnsiTheme="minorEastAsia"/>
          <w:kern w:val="0"/>
          <w:sz w:val="24"/>
          <w:szCs w:val="24"/>
        </w:rPr>
        <w:t>、C</w:t>
      </w:r>
      <w:r>
        <w:rPr>
          <w:rFonts w:hint="eastAsia" w:hAnsi="宋体"/>
          <w:bCs/>
          <w:sz w:val="24"/>
          <w:szCs w:val="24"/>
        </w:rPr>
        <w:t>辅助物资</w:t>
      </w:r>
      <w:r>
        <w:rPr>
          <w:rFonts w:hint="eastAsia" w:cs="Times New Roman" w:asciiTheme="minorEastAsia" w:hAnsiTheme="minorEastAsia"/>
          <w:kern w:val="0"/>
          <w:sz w:val="24"/>
          <w:szCs w:val="24"/>
        </w:rPr>
        <w:t>三类。对A类物料供应商，除了必须符合法定的资质外，还要定期进行现场审计。对B类物料的供应商，企业首先要对该种物料进行风险分析，视供应商提供物料的质量情况决定是否需进行现场审计。对C类物料的供应商，一般只考虑审计其资质。供方经初审合格后，由采购部经理决定是否需要送样或小批试用，考察其质量。供方产品如出现严重质量问题，如发生批次产品不合格，采购员应根据进货检证单将不合格情况记录在“供方业绩评价表”上，若供方在一年内有三批，则取消合格供方资格。</w:t>
      </w:r>
    </w:p>
    <w:p w14:paraId="111EE03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在设备采购方面，采购员对有信誉及有能力的公司进行初步查询，并由供方提供相关证明(营业执照或质量证明,许可证等)后，填写“供方调查评价表”，验证供方管理体系满足采购产品要求的能力，包括对产品质量、环境影响及安全要求和生产能力等作出评价,交采购部主管初审，必要时可进行现场调查。所有设备在使用前必须经过设备验证，确保符合产品工艺要求。</w:t>
      </w:r>
    </w:p>
    <w:p w14:paraId="2FEB3E1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c）生产过程诚信管理</w:t>
      </w:r>
    </w:p>
    <w:p w14:paraId="7628C52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公司生产部、技术部、安全科具体负责各品种生产管理与技术管理工作。制定并逐步完善了各种</w:t>
      </w:r>
      <w:r>
        <w:rPr>
          <w:rFonts w:hint="eastAsia" w:hAnsi="宋体"/>
          <w:sz w:val="24"/>
          <w:szCs w:val="24"/>
        </w:rPr>
        <w:t>生产计划、《监视和测量资源控制程序》、《应对风险和机遇的措施控制程序》、《设备控制程序》、《设备安全操作规程》</w:t>
      </w:r>
      <w:r>
        <w:rPr>
          <w:rFonts w:hint="eastAsia" w:cs="Times New Roman" w:asciiTheme="minorEastAsia" w:hAnsiTheme="minorEastAsia"/>
          <w:kern w:val="0"/>
          <w:sz w:val="24"/>
          <w:szCs w:val="24"/>
        </w:rPr>
        <w:t>。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14:paraId="3C99772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对生产所需的原材料、辅料材料进行投产前复核，把好中间产品、成品的质量，严格执行对不合格品的“不生产、不接收、不流转”的“三不原则”，关键工序设质量控制点，督促员工做好自检、互检，专检规程，严格审批记录的管理规程，做到领用、发放和核对相统一。对每一生产步骤进行物料平衡，保证物料的投入和产品的产出数量与工艺要求相一致，确认无潜在质量隐患。</w:t>
      </w:r>
    </w:p>
    <w:p w14:paraId="6791774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生产记录由生产部负责审核、印制和保管。员工操作必须按要求及时填写生产记录，做到字迹清晰、内容真实、数据完整，操作人及复核人签名确认。每批生产结束后，车间统计员把记录汇总、复核，及时上交生产部，经审核无误后，按批号整理归档，由专人管理。</w:t>
      </w:r>
    </w:p>
    <w:p w14:paraId="0E611DF9">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公司根据行业特点及实际情况，加强生产过程的信息化建设水平，应用</w:t>
      </w:r>
      <w:r>
        <w:rPr>
          <w:rFonts w:cs="Times New Roman" w:asciiTheme="minorEastAsia" w:hAnsiTheme="minorEastAsia"/>
          <w:kern w:val="0"/>
          <w:sz w:val="24"/>
          <w:szCs w:val="24"/>
        </w:rPr>
        <w:t>ERP</w:t>
      </w:r>
      <w:r>
        <w:rPr>
          <w:rFonts w:hint="eastAsia" w:cs="Times New Roman" w:asciiTheme="minorEastAsia" w:hAnsiTheme="minorEastAsia"/>
          <w:kern w:val="0"/>
          <w:sz w:val="24"/>
          <w:szCs w:val="24"/>
        </w:rPr>
        <w:t>系统的生产管理模块对整个过程进行数据采集和监控，对公司整个生产过程实行系统化管理，并挖掘内部潜力，发挥技术骨干人员的力量，开展对现有设备进行持续性改造或科技创新工作，对薄弱环节进行技术攻关；生产员工上岗前要经过培训及考核，建立全员培训档案，通过集中培训、班前会培训、“传、帮、带”、目视化等多种方式进行培训，强化其工作技能和质量意识。生产员工严格遵守车间纪律。</w:t>
      </w:r>
    </w:p>
    <w:p w14:paraId="380D08C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推行精细化生产组织模式以缩短生产和交货周期，快速适应市场订单品种和数量高低起伏的变化，在降低库存基础上满足客户需求，满足了客户对电扶梯产品性能的全面了解和产品质量的进一步认可，订货率也随之提高，并且在很大程度上解决了售后质量问题，减少了售后服务工作人员的工作量，使售后服务工作安排更加柔性化。</w:t>
      </w:r>
    </w:p>
    <w:p w14:paraId="70337041">
      <w:pPr>
        <w:spacing w:line="360" w:lineRule="auto"/>
        <w:ind w:firstLine="480" w:firstLineChars="200"/>
        <w:outlineLvl w:val="2"/>
        <w:rPr>
          <w:rFonts w:cs="Times New Roman" w:asciiTheme="minorEastAsia" w:hAnsiTheme="minorEastAsia"/>
          <w:kern w:val="0"/>
          <w:sz w:val="24"/>
          <w:szCs w:val="24"/>
        </w:rPr>
      </w:pPr>
      <w:bookmarkStart w:id="24" w:name="_Toc515451676"/>
      <w:r>
        <w:rPr>
          <w:rFonts w:hint="eastAsia" w:cs="Times New Roman" w:asciiTheme="minorEastAsia" w:hAnsiTheme="minorEastAsia"/>
          <w:kern w:val="0"/>
          <w:sz w:val="24"/>
          <w:szCs w:val="24"/>
        </w:rPr>
        <w:t>4、营销管理</w:t>
      </w:r>
      <w:bookmarkEnd w:id="24"/>
    </w:p>
    <w:p w14:paraId="029C0AC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根据战略要求，对市场进行细分，以提高资源和运作的有效性针对性。公司将顾客分为直接顾客、间接顾客两类。针对不同类型顾客确定顾客的需求与期望，针对其需求与期望来确定适当的方法，建立相应的体系与团队，建立各种渠道和方法，针对性的进行顾客需求与期望的了解。</w:t>
      </w:r>
    </w:p>
    <w:p w14:paraId="3A8D397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公司通过展览会、行业会议、行业标委会、公共媒体、互联网、外部机构等渠道，以问卷调查、面对面或电话访谈、观察查询、外部委托等方法，了解客户的需求和期望。</w:t>
      </w:r>
    </w:p>
    <w:p w14:paraId="3E79F4C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14:paraId="4BC3A591">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公司以“</w:t>
      </w:r>
      <w:r>
        <w:rPr>
          <w:rFonts w:hint="eastAsia" w:cs="Times New Roman" w:asciiTheme="minorEastAsia" w:hAnsiTheme="minorEastAsia"/>
          <w:kern w:val="0"/>
          <w:sz w:val="24"/>
          <w:szCs w:val="24"/>
          <w:highlight w:val="none"/>
          <w:lang w:eastAsia="zh-CN"/>
        </w:rPr>
        <w:t>诚信、创新、务实、传承</w:t>
      </w:r>
      <w:r>
        <w:rPr>
          <w:rFonts w:hint="eastAsia" w:cs="Times New Roman" w:asciiTheme="minorEastAsia" w:hAnsiTheme="minorEastAsia"/>
          <w:kern w:val="0"/>
          <w:sz w:val="24"/>
          <w:szCs w:val="24"/>
        </w:rPr>
        <w:t>”为核心价值观，要求业务人员对于任何一位客户，不论他下单与否，都要做到热情、周到，都要尽量满足他们的所有合理需求。制订了《与产品和服务有关的要求评审控制程序》等，从各方面增加业务人员的技能和素质，提升了顾客成交率。</w:t>
      </w:r>
    </w:p>
    <w:p w14:paraId="02679F2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公司建立顾客回访制度，采取顾客自愿形式，记录顾客联系电话、产品型号订购时间等相关信息，在顾客购买一段时间后（通常是一年内）进行电话回访，并适时推介新款，提升顾客满意度。</w:t>
      </w:r>
    </w:p>
    <w:p w14:paraId="608BF4D4">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公司建立及时反馈处理用户投诉意见的快速反应机制，投诉/应急处理的响应时间原则上不超过</w:t>
      </w:r>
      <w:r>
        <w:rPr>
          <w:rFonts w:cs="Times New Roman" w:asciiTheme="minorEastAsia" w:hAnsiTheme="minorEastAsia"/>
          <w:kern w:val="0"/>
          <w:sz w:val="24"/>
          <w:szCs w:val="24"/>
        </w:rPr>
        <w:t>24</w:t>
      </w:r>
      <w:r>
        <w:rPr>
          <w:rFonts w:hint="eastAsia" w:cs="Times New Roman" w:asciiTheme="minorEastAsia" w:hAnsiTheme="minorEastAsia"/>
          <w:kern w:val="0"/>
          <w:sz w:val="24"/>
          <w:szCs w:val="24"/>
        </w:rPr>
        <w:t>小时，对不可预测的变化，及时采取应对措施。</w:t>
      </w:r>
    </w:p>
    <w:p w14:paraId="3E82234C">
      <w:pPr>
        <w:spacing w:line="360" w:lineRule="auto"/>
        <w:ind w:firstLine="480" w:firstLineChars="200"/>
        <w:outlineLvl w:val="1"/>
        <w:rPr>
          <w:rFonts w:cs="Times New Roman" w:asciiTheme="minorEastAsia" w:hAnsiTheme="minorEastAsia"/>
          <w:kern w:val="0"/>
          <w:sz w:val="24"/>
          <w:szCs w:val="24"/>
        </w:rPr>
      </w:pPr>
      <w:bookmarkStart w:id="25" w:name="_Toc18678"/>
      <w:r>
        <w:rPr>
          <w:rFonts w:hint="eastAsia" w:cs="Times New Roman" w:asciiTheme="minorEastAsia" w:hAnsiTheme="minorEastAsia"/>
          <w:kern w:val="0"/>
          <w:sz w:val="24"/>
          <w:szCs w:val="24"/>
        </w:rPr>
        <w:t>（五）企业文化建设</w:t>
      </w:r>
      <w:bookmarkEnd w:id="25"/>
    </w:p>
    <w:p w14:paraId="460ECF60">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1、企业使命、企业愿景、企业价值观</w:t>
      </w:r>
    </w:p>
    <w:p w14:paraId="0323E65D">
      <w:pPr>
        <w:spacing w:line="360" w:lineRule="auto"/>
        <w:ind w:firstLine="480" w:firstLineChars="200"/>
        <w:rPr>
          <w:rFonts w:cs="Times New Roman" w:asciiTheme="minorEastAsia" w:hAnsiTheme="minorEastAsia"/>
          <w:kern w:val="0"/>
          <w:sz w:val="24"/>
          <w:szCs w:val="24"/>
          <w:highlight w:val="none"/>
        </w:rPr>
      </w:pPr>
      <w:bookmarkStart w:id="26" w:name="_Hlk24922071"/>
      <w:bookmarkStart w:id="27" w:name="_Hlk24613985"/>
      <w:bookmarkStart w:id="28" w:name="_Hlk112002177"/>
      <w:r>
        <w:rPr>
          <w:rFonts w:hint="eastAsia" w:cs="Times New Roman" w:asciiTheme="minorEastAsia" w:hAnsiTheme="minorEastAsia"/>
          <w:kern w:val="0"/>
          <w:sz w:val="24"/>
          <w:szCs w:val="24"/>
        </w:rPr>
        <w:t>公司的使命</w:t>
      </w:r>
      <w:r>
        <w:rPr>
          <w:rFonts w:hint="eastAsia" w:cs="Times New Roman" w:asciiTheme="minorEastAsia" w:hAnsiTheme="minorEastAsia"/>
          <w:kern w:val="0"/>
          <w:sz w:val="24"/>
          <w:szCs w:val="24"/>
          <w:highlight w:val="none"/>
        </w:rPr>
        <w:t>：</w:t>
      </w:r>
      <w:bookmarkStart w:id="29" w:name="_Hlk112001009"/>
      <w:r>
        <w:rPr>
          <w:rFonts w:hint="eastAsia" w:ascii="宋体" w:hAnsi="宋体"/>
          <w:sz w:val="24"/>
          <w:szCs w:val="24"/>
          <w:highlight w:val="none"/>
          <w:lang w:eastAsia="zh-CN"/>
        </w:rPr>
        <w:t>致力于为全球提供最优质新型包装材料产品</w:t>
      </w:r>
      <w:r>
        <w:rPr>
          <w:rFonts w:hint="eastAsia" w:ascii="宋体" w:hAnsi="宋体"/>
          <w:sz w:val="24"/>
          <w:szCs w:val="24"/>
          <w:highlight w:val="none"/>
        </w:rPr>
        <w:t>。</w:t>
      </w:r>
    </w:p>
    <w:p w14:paraId="23267FC9">
      <w:pPr>
        <w:spacing w:line="360" w:lineRule="auto"/>
        <w:ind w:firstLine="480" w:firstLineChars="200"/>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highlight w:val="none"/>
        </w:rPr>
        <w:t>愿景：成为活性 （智能）包装材料全球领导者。</w:t>
      </w:r>
    </w:p>
    <w:p w14:paraId="0BBC2CB3">
      <w:pPr>
        <w:spacing w:line="360" w:lineRule="auto"/>
        <w:ind w:firstLine="480" w:firstLineChars="200"/>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highlight w:val="none"/>
        </w:rPr>
        <w:t>核心价值观：</w:t>
      </w:r>
      <w:bookmarkEnd w:id="29"/>
      <w:r>
        <w:rPr>
          <w:rFonts w:hint="eastAsia" w:cs="Times New Roman" w:asciiTheme="minorEastAsia" w:hAnsiTheme="minorEastAsia"/>
          <w:kern w:val="0"/>
          <w:sz w:val="24"/>
          <w:szCs w:val="24"/>
          <w:highlight w:val="none"/>
          <w:lang w:eastAsia="zh-CN"/>
        </w:rPr>
        <w:t>诚信、 创新、务实、传承</w:t>
      </w:r>
      <w:r>
        <w:rPr>
          <w:rFonts w:hint="eastAsia" w:cs="Times New Roman" w:asciiTheme="minorEastAsia" w:hAnsiTheme="minorEastAsia"/>
          <w:kern w:val="0"/>
          <w:sz w:val="24"/>
          <w:szCs w:val="24"/>
          <w:highlight w:val="none"/>
        </w:rPr>
        <w:t>。</w:t>
      </w:r>
      <w:bookmarkEnd w:id="26"/>
      <w:bookmarkEnd w:id="27"/>
    </w:p>
    <w:bookmarkEnd w:id="28"/>
    <w:p w14:paraId="50042ACE">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2、品牌建设情况</w:t>
      </w:r>
    </w:p>
    <w:p w14:paraId="4EEACC6F">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highlight w:val="none"/>
          <w:lang w:eastAsia="zh-CN"/>
        </w:rPr>
        <w:t>杭州星点包装材料有限公司</w:t>
      </w:r>
      <w:r>
        <w:rPr>
          <w:rFonts w:hint="eastAsia" w:cs="Times New Roman" w:asciiTheme="minorEastAsia" w:hAnsiTheme="minorEastAsia"/>
          <w:kern w:val="0"/>
          <w:sz w:val="24"/>
          <w:szCs w:val="24"/>
        </w:rPr>
        <w:t>以产品质量赢得市场口碑，在行业内品牌形象上佳，并依托网络品牌宣传和推广，产品知名度在业界具有很高知名度，产品和服务得到用户认可，近三年来，顾客满意度一直处于上升趋势。公司在顾客与市场方面的绩效结果，包括顾客满意表明产品稳定处于在较高的水平</w:t>
      </w:r>
      <w:r>
        <w:rPr>
          <w:rFonts w:cs="Times New Roman" w:asciiTheme="minorEastAsia" w:hAnsiTheme="minorEastAsia"/>
          <w:kern w:val="0"/>
          <w:sz w:val="24"/>
          <w:szCs w:val="24"/>
        </w:rPr>
        <w:t>。</w:t>
      </w:r>
    </w:p>
    <w:p w14:paraId="538F441E">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公司不断壮大“精、专、新”的研发队伍，持续改善产品技术水平和质量性能，近三年来产品多次获得客户和同行认可</w:t>
      </w:r>
      <w:r>
        <w:rPr>
          <w:rFonts w:hint="eastAsia" w:cs="Times New Roman" w:asciiTheme="minorEastAsia" w:hAnsiTheme="minorEastAsia"/>
          <w:kern w:val="0"/>
          <w:sz w:val="24"/>
          <w:szCs w:val="24"/>
        </w:rPr>
        <w:t>。</w:t>
      </w:r>
    </w:p>
    <w:p w14:paraId="60B1BD82">
      <w:pPr>
        <w:spacing w:line="360" w:lineRule="auto"/>
        <w:ind w:firstLine="480" w:firstLineChars="200"/>
        <w:outlineLvl w:val="1"/>
        <w:rPr>
          <w:rFonts w:cs="Times New Roman" w:asciiTheme="minorEastAsia" w:hAnsiTheme="minorEastAsia"/>
          <w:kern w:val="0"/>
          <w:sz w:val="24"/>
          <w:szCs w:val="24"/>
        </w:rPr>
      </w:pPr>
      <w:bookmarkStart w:id="30" w:name="_Toc515451678"/>
      <w:bookmarkStart w:id="31" w:name="_Toc5299"/>
      <w:r>
        <w:rPr>
          <w:rFonts w:hint="eastAsia" w:cs="Times New Roman" w:asciiTheme="minorEastAsia" w:hAnsiTheme="minorEastAsia"/>
          <w:kern w:val="0"/>
          <w:sz w:val="24"/>
          <w:szCs w:val="24"/>
        </w:rPr>
        <w:t>（六）</w:t>
      </w:r>
      <w:bookmarkEnd w:id="30"/>
      <w:r>
        <w:rPr>
          <w:rFonts w:hint="eastAsia" w:cs="Times New Roman" w:asciiTheme="minorEastAsia" w:hAnsiTheme="minorEastAsia"/>
          <w:kern w:val="0"/>
          <w:sz w:val="24"/>
          <w:szCs w:val="24"/>
        </w:rPr>
        <w:t>企业技术水平</w:t>
      </w:r>
      <w:bookmarkEnd w:id="31"/>
    </w:p>
    <w:p w14:paraId="68059ED7">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1、标准制修订</w:t>
      </w:r>
    </w:p>
    <w:p w14:paraId="5B51B738">
      <w:pPr>
        <w:spacing w:line="360" w:lineRule="auto"/>
        <w:ind w:firstLine="480" w:firstLineChars="200"/>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rPr>
        <w:t>公司为主起草“品字标浙江制造”团体标准</w:t>
      </w:r>
      <w:r>
        <w:rPr>
          <w:rFonts w:hint="eastAsia" w:cs="Times New Roman" w:asciiTheme="minorEastAsia" w:hAnsiTheme="minorEastAsia"/>
          <w:kern w:val="0"/>
          <w:sz w:val="24"/>
          <w:szCs w:val="24"/>
          <w:highlight w:val="none"/>
          <w:lang w:eastAsia="zh-CN"/>
        </w:rPr>
        <w:t>3494—2023《食品包装用双向拉伸聚丙烯/聚酰胺/聚乙烯复合膜》</w:t>
      </w:r>
      <w:r>
        <w:rPr>
          <w:rFonts w:hint="eastAsia" w:cs="Times New Roman" w:asciiTheme="minorEastAsia" w:hAnsiTheme="minorEastAsia"/>
          <w:kern w:val="0"/>
          <w:sz w:val="24"/>
          <w:szCs w:val="24"/>
          <w:highlight w:val="none"/>
        </w:rPr>
        <w:t>等。</w:t>
      </w:r>
    </w:p>
    <w:p w14:paraId="6E8A2A32">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2、专利情况</w:t>
      </w:r>
    </w:p>
    <w:p w14:paraId="1303F743">
      <w:pPr>
        <w:spacing w:line="360" w:lineRule="auto"/>
        <w:ind w:firstLine="480" w:firstLineChars="200"/>
        <w:rPr>
          <w:rFonts w:hint="eastAsia" w:cs="Times New Roman" w:asciiTheme="minorEastAsia" w:hAnsiTheme="minorEastAsia"/>
          <w:kern w:val="0"/>
          <w:sz w:val="24"/>
          <w:szCs w:val="24"/>
          <w:highlight w:val="none"/>
        </w:rPr>
      </w:pPr>
      <w:r>
        <w:rPr>
          <w:rFonts w:hint="eastAsia" w:cs="Times New Roman" w:asciiTheme="minorEastAsia" w:hAnsiTheme="minorEastAsia"/>
          <w:kern w:val="0"/>
          <w:sz w:val="24"/>
          <w:szCs w:val="24"/>
        </w:rPr>
        <w:t>近年来，公司积极开展自主创新工作，加大研发投入力度，公司成立产品研发中心、产品试验中心。</w:t>
      </w:r>
      <w:r>
        <w:rPr>
          <w:rFonts w:hint="eastAsia" w:cs="Times New Roman" w:asciiTheme="minorEastAsia" w:hAnsiTheme="minorEastAsia"/>
          <w:kern w:val="0"/>
          <w:sz w:val="24"/>
          <w:szCs w:val="24"/>
          <w:highlight w:val="none"/>
        </w:rPr>
        <w:t>共获得专利</w:t>
      </w:r>
      <w:r>
        <w:rPr>
          <w:rFonts w:hint="eastAsia" w:cs="Times New Roman" w:asciiTheme="minorEastAsia" w:hAnsiTheme="minorEastAsia"/>
          <w:kern w:val="0"/>
          <w:sz w:val="24"/>
          <w:szCs w:val="24"/>
          <w:highlight w:val="none"/>
          <w:lang w:val="en-US" w:eastAsia="zh-CN"/>
        </w:rPr>
        <w:t>50</w:t>
      </w:r>
      <w:r>
        <w:rPr>
          <w:rFonts w:hint="eastAsia" w:cs="Times New Roman" w:asciiTheme="minorEastAsia" w:hAnsiTheme="minorEastAsia"/>
          <w:kern w:val="0"/>
          <w:sz w:val="24"/>
          <w:szCs w:val="24"/>
          <w:highlight w:val="none"/>
        </w:rPr>
        <w:t>项，发明专利</w:t>
      </w:r>
      <w:r>
        <w:rPr>
          <w:rFonts w:hint="eastAsia" w:cs="Times New Roman" w:asciiTheme="minorEastAsia" w:hAnsiTheme="minorEastAsia"/>
          <w:kern w:val="0"/>
          <w:sz w:val="24"/>
          <w:szCs w:val="24"/>
          <w:highlight w:val="none"/>
          <w:lang w:val="en-US" w:eastAsia="zh-CN"/>
        </w:rPr>
        <w:t>11</w:t>
      </w:r>
      <w:r>
        <w:rPr>
          <w:rFonts w:hint="eastAsia" w:cs="Times New Roman" w:asciiTheme="minorEastAsia" w:hAnsiTheme="minorEastAsia"/>
          <w:kern w:val="0"/>
          <w:sz w:val="24"/>
          <w:szCs w:val="24"/>
          <w:highlight w:val="none"/>
        </w:rPr>
        <w:t>项，实用新型专利</w:t>
      </w:r>
      <w:r>
        <w:rPr>
          <w:rFonts w:hint="eastAsia" w:cs="Times New Roman" w:asciiTheme="minorEastAsia" w:hAnsiTheme="minorEastAsia"/>
          <w:kern w:val="0"/>
          <w:sz w:val="24"/>
          <w:szCs w:val="24"/>
          <w:highlight w:val="none"/>
          <w:lang w:val="en-US" w:eastAsia="zh-CN"/>
        </w:rPr>
        <w:t>39</w:t>
      </w:r>
      <w:r>
        <w:rPr>
          <w:rFonts w:hint="eastAsia" w:cs="Times New Roman" w:asciiTheme="minorEastAsia" w:hAnsiTheme="minorEastAsia"/>
          <w:kern w:val="0"/>
          <w:sz w:val="24"/>
          <w:szCs w:val="24"/>
          <w:highlight w:val="none"/>
        </w:rPr>
        <w:t>项。</w:t>
      </w:r>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3392"/>
        <w:gridCol w:w="832"/>
        <w:gridCol w:w="1430"/>
        <w:gridCol w:w="2170"/>
      </w:tblGrid>
      <w:tr w14:paraId="21D9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000" w:type="pct"/>
            <w:gridSpan w:val="5"/>
            <w:tcBorders>
              <w:top w:val="nil"/>
              <w:left w:val="nil"/>
              <w:bottom w:val="nil"/>
              <w:right w:val="nil"/>
            </w:tcBorders>
            <w:shd w:val="clear" w:color="auto" w:fill="auto"/>
            <w:noWrap/>
            <w:vAlign w:val="center"/>
          </w:tcPr>
          <w:p w14:paraId="34061260">
            <w:pPr>
              <w:pStyle w:val="4"/>
              <w:keepNext/>
              <w:keepLines/>
              <w:pageBreakBefore w:val="0"/>
              <w:widowControl/>
              <w:kinsoku/>
              <w:wordWrap/>
              <w:overflowPunct/>
              <w:topLinePunct w:val="0"/>
              <w:autoSpaceDE/>
              <w:autoSpaceDN/>
              <w:bidi w:val="0"/>
              <w:adjustRightInd/>
              <w:snapToGrid/>
              <w:spacing w:before="0" w:after="0" w:line="240" w:lineRule="auto"/>
              <w:ind w:firstLine="363"/>
              <w:jc w:val="center"/>
              <w:textAlignment w:val="auto"/>
              <w:rPr>
                <w:rFonts w:hint="default" w:ascii="宋体" w:hAnsi="宋体" w:eastAsia="宋体" w:cs="宋体"/>
                <w:i w:val="0"/>
                <w:iCs w:val="0"/>
                <w:color w:val="000000"/>
                <w:szCs w:val="24"/>
                <w:u w:val="none"/>
                <w:lang w:val="en-US"/>
              </w:rPr>
            </w:pPr>
            <w:r>
              <w:rPr>
                <w:rFonts w:hint="eastAsia"/>
                <w:lang w:eastAsia="zh-CN"/>
              </w:rPr>
              <w:t>杭州星点包装材料有限公司</w:t>
            </w:r>
            <w:r>
              <w:rPr>
                <w:rFonts w:hint="eastAsia"/>
                <w:lang w:val="en-US" w:eastAsia="zh-CN"/>
              </w:rPr>
              <w:t>专利（部分）</w:t>
            </w:r>
          </w:p>
        </w:tc>
      </w:tr>
      <w:tr w14:paraId="2109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8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2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知识产权名称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2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7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授权日期</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A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专利号</w:t>
            </w:r>
          </w:p>
        </w:tc>
      </w:tr>
      <w:tr w14:paraId="43E3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2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36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一种新型吸湿袋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9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2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2016/3/2</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E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ZL201520728508.3</w:t>
            </w:r>
          </w:p>
        </w:tc>
      </w:tr>
      <w:tr w14:paraId="57AB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0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A6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一种新型生石灰干燥剂包装膜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1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5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2016/3/2</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1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ZL201520728498.3</w:t>
            </w:r>
          </w:p>
        </w:tc>
      </w:tr>
      <w:tr w14:paraId="10C0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2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IP3</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6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一种新型洗发水液体自动充填卷膜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7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3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2018/1/17</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A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ZL201820070873.3</w:t>
            </w:r>
          </w:p>
        </w:tc>
      </w:tr>
      <w:tr w14:paraId="28DC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3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IP4</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90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一种新型悬挂式除湿剂挂袋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2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4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2018/1/17</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E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ZL201820070871.4</w:t>
            </w:r>
          </w:p>
        </w:tc>
      </w:tr>
      <w:tr w14:paraId="39ED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2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IP5</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31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一种新型抽屉式除湿剂挂袋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C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2018/9/11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C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ZL201721892185.7</w:t>
            </w:r>
          </w:p>
        </w:tc>
      </w:tr>
      <w:tr w14:paraId="3894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B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IP6</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A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一种新型高强度果冻包装复合膜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F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6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2018/9/11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7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ZL201721892183.8</w:t>
            </w:r>
          </w:p>
        </w:tc>
      </w:tr>
      <w:tr w14:paraId="766C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B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IP7</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6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一种新型便携式纸杯拉链袋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E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6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2018/9/25</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B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ZL201721895779.3</w:t>
            </w:r>
          </w:p>
        </w:tc>
      </w:tr>
      <w:tr w14:paraId="4544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1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IP8</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D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一种新型高透明蛋糕卷袋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6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6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2018/9/11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E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ZL201721892182.3</w:t>
            </w:r>
          </w:p>
        </w:tc>
      </w:tr>
      <w:tr w14:paraId="3088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B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IP9</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E2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一种新型海苔高速包装卷膜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0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6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2018/9/11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4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ZL201820070874.8</w:t>
            </w:r>
          </w:p>
        </w:tc>
      </w:tr>
      <w:tr w14:paraId="3D0B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A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IP10</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C3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一种高阻隔负压渗漏背封夹边重包袋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2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3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2019/8/13</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F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ZL201822104331.6</w:t>
            </w:r>
          </w:p>
        </w:tc>
      </w:tr>
      <w:tr w14:paraId="1569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E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IP11</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BA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一种新型低溶残耐穿刺高温蒸煮食品包装袋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0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3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2019/8/13</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3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ZL201822102527.1</w:t>
            </w:r>
          </w:p>
        </w:tc>
      </w:tr>
      <w:tr w14:paraId="1573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C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IP12</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3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一种新型HD杯酱油易揭膜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0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0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2019/8/13</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2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ZL201822104329.9</w:t>
            </w:r>
          </w:p>
        </w:tc>
      </w:tr>
      <w:tr w14:paraId="5B5E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C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IP14</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78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一种特高阻隔镀铝食品包装膜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3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6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2020/2/18</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F8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ZL201920771967.8</w:t>
            </w:r>
          </w:p>
        </w:tc>
      </w:tr>
      <w:tr w14:paraId="4FE0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8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IP15</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55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一种防静电粉尘中药包装膜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8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B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2020/6/16</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3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ZL201921395875.0</w:t>
            </w:r>
          </w:p>
        </w:tc>
      </w:tr>
      <w:tr w14:paraId="758D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7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IP16</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75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一种高耐破蒸煮食品包装膜 </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9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F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2020/6/16</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0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ZL201921414867.6</w:t>
            </w:r>
          </w:p>
        </w:tc>
      </w:tr>
      <w:tr w14:paraId="3644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3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IP17</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9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一种防滑、防渗漏珍珠圆包装袋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0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C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2020/6/30</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3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ZL201921755030.8</w:t>
            </w:r>
          </w:p>
        </w:tc>
      </w:tr>
      <w:tr w14:paraId="2A89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E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IP18</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0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高强度防尘生石灰干燥剂包装膜及其生产方法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6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发明专利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C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2020/8/11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5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ZL201810059403.1</w:t>
            </w:r>
          </w:p>
        </w:tc>
      </w:tr>
      <w:tr w14:paraId="6430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D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IP19</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7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高强聚酯纺粘无纺布生石灰干燥剂包装膜及其生产方法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C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发明专利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F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2020/8/11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1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ZL201810059402.7</w:t>
            </w:r>
          </w:p>
        </w:tc>
      </w:tr>
      <w:tr w14:paraId="7D81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8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IP20</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4B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一种耐高温高韧性中药液包装膜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A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6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2021/2/19</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3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ZL201922257384.6</w:t>
            </w:r>
          </w:p>
        </w:tc>
      </w:tr>
      <w:tr w14:paraId="1B8B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0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IP21</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D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一种抗污染耐压果冻条包膜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7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A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2021/3/23</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7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ZL202020837683.7</w:t>
            </w:r>
          </w:p>
        </w:tc>
      </w:tr>
      <w:tr w14:paraId="5E87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6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IP22</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A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一种新型低异味压花防伪保鲜袋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8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B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2018/9/11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4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ZL201721892184.2</w:t>
            </w:r>
          </w:p>
        </w:tc>
      </w:tr>
      <w:tr w14:paraId="4ACF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6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IP23</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2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一种低温热封高吸水悬挂式除湿剂袋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F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3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2021/6/29</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E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ZL202021619050.5</w:t>
            </w:r>
          </w:p>
        </w:tc>
      </w:tr>
      <w:tr w14:paraId="05F4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C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IP24</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D5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一种薄膜蒸镀前使用的涂布液及其制备工艺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B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发明专利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2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2021/11/5</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E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ZL202010935961.7</w:t>
            </w:r>
          </w:p>
        </w:tc>
      </w:tr>
      <w:tr w14:paraId="44F8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0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IP25</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7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一种高阻隔低异味瓜子袋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3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5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2022/9/20</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D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ZL202123038776.7</w:t>
            </w:r>
          </w:p>
        </w:tc>
      </w:tr>
      <w:tr w14:paraId="19B1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E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IP26</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93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一种基于丙烯共聚物的热封膜及其制备方法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B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发明专利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A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2022/4/29</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2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ZL202011263502.5</w:t>
            </w:r>
          </w:p>
        </w:tc>
      </w:tr>
      <w:tr w14:paraId="0453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2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IP27</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D9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一种高拉伸强度的保鲜膜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E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4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2022/12/30</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6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ZL202123265559.1</w:t>
            </w:r>
          </w:p>
        </w:tc>
      </w:tr>
      <w:tr w14:paraId="67C1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46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IP28</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FD6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一种医药包装用复合膜的生产工艺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90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发明专利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EA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2023/01/24</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CA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ZL202211393258.3</w:t>
            </w:r>
          </w:p>
        </w:tc>
      </w:tr>
      <w:tr w14:paraId="6E11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CA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IP29</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1BE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一种易揭型 PP 杯易揭盖膜结构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2B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86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2023/10/09</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5D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ZL202322695658.6</w:t>
            </w:r>
          </w:p>
        </w:tc>
      </w:tr>
      <w:tr w14:paraId="7A38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56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IP30</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12B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一种耐蒸煮 PE 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14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93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2023/10/09</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4A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ZL202322695070.0</w:t>
            </w:r>
          </w:p>
        </w:tc>
      </w:tr>
      <w:tr w14:paraId="1896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8A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IP31</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04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一种易撕型挤食果冻薄膜结构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23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3D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12</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2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202322374527.8</w:t>
            </w:r>
          </w:p>
        </w:tc>
      </w:tr>
      <w:tr w14:paraId="5FA9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09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IP32</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B9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一种耐跌落液体吸嘴袋结构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A6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58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bookmarkStart w:id="41" w:name="_GoBack"/>
            <w:bookmarkEnd w:id="41"/>
            <w:r>
              <w:rPr>
                <w:rFonts w:hint="default" w:ascii="宋体" w:hAnsi="宋体" w:eastAsia="宋体" w:cs="宋体"/>
                <w:i w:val="0"/>
                <w:iCs w:val="0"/>
                <w:color w:val="000000"/>
                <w:kern w:val="0"/>
                <w:sz w:val="24"/>
                <w:szCs w:val="24"/>
                <w:u w:val="none"/>
                <w:lang w:val="en-US" w:eastAsia="zh-CN" w:bidi="ar"/>
              </w:rPr>
              <w:t>06</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18</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90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202322695461.2</w:t>
            </w:r>
          </w:p>
        </w:tc>
      </w:tr>
      <w:tr w14:paraId="43EC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0A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IP33</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7D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一种易揭型PP杯易揭盖膜结构</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83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E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06</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25</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EA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202322695658.6</w:t>
            </w:r>
          </w:p>
        </w:tc>
      </w:tr>
      <w:tr w14:paraId="6359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5A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IP34</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D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一种耐蒸煮PE袋</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4F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实用新型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D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06</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25</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E9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202322695070.0</w:t>
            </w:r>
          </w:p>
        </w:tc>
      </w:tr>
      <w:tr w14:paraId="3B42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41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IP35</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F8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一种医药包装用复合膜的生产工艺</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5E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发明</w:t>
            </w:r>
            <w:r>
              <w:rPr>
                <w:rFonts w:hint="eastAsia" w:ascii="宋体" w:hAnsi="宋体" w:eastAsia="宋体" w:cs="宋体"/>
                <w:i w:val="0"/>
                <w:iCs w:val="0"/>
                <w:color w:val="000000"/>
                <w:kern w:val="0"/>
                <w:sz w:val="24"/>
                <w:szCs w:val="24"/>
                <w:u w:val="none"/>
                <w:lang w:val="en-US" w:eastAsia="zh-CN" w:bidi="ar"/>
              </w:rPr>
              <w:t>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F7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05</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24</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94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202211393258.3</w:t>
            </w:r>
          </w:p>
        </w:tc>
      </w:tr>
      <w:tr w14:paraId="6063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4D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IP36</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DD7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一种抗菌型封口薄膜及其制备方法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B9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发明</w:t>
            </w:r>
            <w:r>
              <w:rPr>
                <w:rFonts w:hint="eastAsia" w:ascii="宋体" w:hAnsi="宋体" w:eastAsia="宋体" w:cs="宋体"/>
                <w:i w:val="0"/>
                <w:iCs w:val="0"/>
                <w:color w:val="000000"/>
                <w:kern w:val="0"/>
                <w:sz w:val="24"/>
                <w:szCs w:val="24"/>
                <w:u w:val="none"/>
                <w:lang w:val="en-US" w:eastAsia="zh-CN" w:bidi="ar"/>
              </w:rPr>
              <w:t>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F20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06</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21</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BB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202410524301.8</w:t>
            </w:r>
          </w:p>
        </w:tc>
      </w:tr>
      <w:tr w14:paraId="52D5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8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IP37</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C51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一种干复机用张力智能化控制方法及系统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BE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发明</w:t>
            </w:r>
            <w:r>
              <w:rPr>
                <w:rFonts w:hint="eastAsia" w:ascii="宋体" w:hAnsi="宋体" w:eastAsia="宋体" w:cs="宋体"/>
                <w:i w:val="0"/>
                <w:iCs w:val="0"/>
                <w:color w:val="000000"/>
                <w:kern w:val="0"/>
                <w:sz w:val="24"/>
                <w:szCs w:val="24"/>
                <w:u w:val="none"/>
                <w:lang w:val="en-US" w:eastAsia="zh-CN" w:bidi="ar"/>
              </w:rPr>
              <w:t>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7EA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07</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02</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90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202410494343.1</w:t>
            </w:r>
          </w:p>
        </w:tc>
      </w:tr>
      <w:tr w14:paraId="51C7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4F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IP38</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16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一种用于制袋机的智能化控制方法及系统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7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发明</w:t>
            </w:r>
            <w:r>
              <w:rPr>
                <w:rFonts w:hint="eastAsia" w:ascii="宋体" w:hAnsi="宋体" w:eastAsia="宋体" w:cs="宋体"/>
                <w:i w:val="0"/>
                <w:iCs w:val="0"/>
                <w:color w:val="000000"/>
                <w:kern w:val="0"/>
                <w:sz w:val="24"/>
                <w:szCs w:val="24"/>
                <w:u w:val="none"/>
                <w:lang w:val="en-US" w:eastAsia="zh-CN" w:bidi="ar"/>
              </w:rPr>
              <w:t>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57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07</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02</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E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202410466770.9</w:t>
            </w:r>
          </w:p>
        </w:tc>
      </w:tr>
      <w:tr w14:paraId="3A57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77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IP39</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EB3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一种医药包装用复合薄膜及其制备方法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1C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发明</w:t>
            </w:r>
            <w:r>
              <w:rPr>
                <w:rFonts w:hint="eastAsia" w:ascii="宋体" w:hAnsi="宋体" w:eastAsia="宋体" w:cs="宋体"/>
                <w:i w:val="0"/>
                <w:iCs w:val="0"/>
                <w:color w:val="000000"/>
                <w:kern w:val="0"/>
                <w:sz w:val="24"/>
                <w:szCs w:val="24"/>
                <w:u w:val="none"/>
                <w:lang w:val="en-US" w:eastAsia="zh-CN" w:bidi="ar"/>
              </w:rPr>
              <w:t>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80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07</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26</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5C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202410636718.3</w:t>
            </w:r>
          </w:p>
        </w:tc>
      </w:tr>
      <w:tr w14:paraId="772C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5E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IP40</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78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一种超低温热封包装复合薄膜及其制备方法</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33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发明</w:t>
            </w:r>
            <w:r>
              <w:rPr>
                <w:rFonts w:hint="eastAsia" w:ascii="宋体" w:hAnsi="宋体" w:eastAsia="宋体" w:cs="宋体"/>
                <w:i w:val="0"/>
                <w:iCs w:val="0"/>
                <w:color w:val="000000"/>
                <w:kern w:val="0"/>
                <w:sz w:val="24"/>
                <w:szCs w:val="24"/>
                <w:u w:val="none"/>
                <w:lang w:val="en-US" w:eastAsia="zh-CN" w:bidi="ar"/>
              </w:rPr>
              <w:t>专利</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603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29</w:t>
            </w:r>
          </w:p>
        </w:tc>
        <w:tc>
          <w:tcPr>
            <w:tcW w:w="1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A2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ZL</w:t>
            </w:r>
            <w:r>
              <w:rPr>
                <w:rFonts w:hint="default" w:ascii="宋体" w:hAnsi="宋体" w:eastAsia="宋体" w:cs="宋体"/>
                <w:i w:val="0"/>
                <w:iCs w:val="0"/>
                <w:color w:val="000000"/>
                <w:kern w:val="0"/>
                <w:sz w:val="24"/>
                <w:szCs w:val="24"/>
                <w:u w:val="none"/>
                <w:lang w:val="en-US" w:eastAsia="zh-CN" w:bidi="ar"/>
              </w:rPr>
              <w:t>202411147251.2</w:t>
            </w:r>
          </w:p>
        </w:tc>
      </w:tr>
    </w:tbl>
    <w:p w14:paraId="38642E2C">
      <w:pPr>
        <w:spacing w:line="360" w:lineRule="auto"/>
        <w:rPr>
          <w:rFonts w:hint="eastAsia" w:cs="Times New Roman" w:asciiTheme="minorEastAsia" w:hAnsiTheme="minorEastAsia"/>
          <w:kern w:val="0"/>
          <w:sz w:val="24"/>
          <w:szCs w:val="24"/>
          <w:highlight w:val="none"/>
        </w:rPr>
      </w:pPr>
    </w:p>
    <w:p w14:paraId="4F04E98E">
      <w:pPr>
        <w:spacing w:line="360" w:lineRule="auto"/>
        <w:ind w:firstLine="480" w:firstLineChars="200"/>
        <w:outlineLvl w:val="2"/>
        <w:rPr>
          <w:rFonts w:cs="Times New Roman" w:asciiTheme="minorEastAsia" w:hAnsiTheme="minorEastAsia"/>
          <w:kern w:val="0"/>
          <w:sz w:val="24"/>
          <w:szCs w:val="24"/>
        </w:rPr>
      </w:pPr>
      <w:r>
        <w:rPr>
          <w:rFonts w:hint="eastAsia" w:cs="Times New Roman" w:asciiTheme="minorEastAsia" w:hAnsiTheme="minorEastAsia"/>
          <w:kern w:val="0"/>
          <w:sz w:val="24"/>
          <w:szCs w:val="24"/>
        </w:rPr>
        <w:t>3、产品检验标准与水平</w:t>
      </w:r>
    </w:p>
    <w:p w14:paraId="46C6884C">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p>
    <w:p w14:paraId="479B2072">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自建厂以来，公司从未出现过重大质量投诉，在历年接受各级质量技术部门的抽检中，合格率均达100%。</w:t>
      </w:r>
    </w:p>
    <w:p w14:paraId="2EBABB32">
      <w:pPr>
        <w:spacing w:line="360" w:lineRule="auto"/>
        <w:ind w:firstLine="480" w:firstLineChars="200"/>
        <w:outlineLvl w:val="1"/>
        <w:rPr>
          <w:rFonts w:cs="Times New Roman" w:asciiTheme="minorEastAsia" w:hAnsiTheme="minorEastAsia"/>
          <w:kern w:val="0"/>
          <w:sz w:val="24"/>
          <w:szCs w:val="24"/>
        </w:rPr>
      </w:pPr>
      <w:bookmarkStart w:id="32" w:name="_Toc515451679"/>
      <w:bookmarkStart w:id="33" w:name="_Toc26372"/>
      <w:r>
        <w:rPr>
          <w:rFonts w:hint="eastAsia" w:cs="Times New Roman" w:asciiTheme="minorEastAsia" w:hAnsiTheme="minorEastAsia"/>
          <w:kern w:val="0"/>
          <w:sz w:val="24"/>
          <w:szCs w:val="24"/>
        </w:rPr>
        <w:t>（七）</w:t>
      </w:r>
      <w:bookmarkEnd w:id="32"/>
      <w:r>
        <w:rPr>
          <w:rFonts w:hint="eastAsia" w:cs="Times New Roman" w:asciiTheme="minorEastAsia" w:hAnsiTheme="minorEastAsia"/>
          <w:kern w:val="0"/>
          <w:sz w:val="24"/>
          <w:szCs w:val="24"/>
        </w:rPr>
        <w:t>企业计量水平</w:t>
      </w:r>
      <w:bookmarkEnd w:id="33"/>
    </w:p>
    <w:p w14:paraId="361BBDE3">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严格执行《中华人民共和国计量法》等文件法规，从原材料采购、过程管理、生产设备、检验设备、工序检验、成品检验等环节建立了一整套管理文件和控制方法。设有专职计量人员负责公司的在用计量设备管理、配备和定期校检工作，注重对计量管理人员的专业培训，为公司的计量管理的规范化提供了有力的保障。</w:t>
      </w:r>
    </w:p>
    <w:p w14:paraId="73E3E08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为确保产品质量，在产品生产工艺中严格过程控制，对生产工艺过程中的原辅材料等加强计量管理，确保计量设备的正常运行和计量的准确性。</w:t>
      </w:r>
    </w:p>
    <w:p w14:paraId="37E3B15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的计量基础。</w:t>
      </w:r>
    </w:p>
    <w:p w14:paraId="5AD2DF40">
      <w:pPr>
        <w:spacing w:line="360" w:lineRule="auto"/>
        <w:rPr>
          <w:rFonts w:cs="Times New Roman" w:asciiTheme="minorEastAsia" w:hAnsiTheme="minorEastAsia"/>
          <w:kern w:val="0"/>
          <w:sz w:val="24"/>
          <w:szCs w:val="24"/>
        </w:rPr>
      </w:pPr>
    </w:p>
    <w:p w14:paraId="113D692A">
      <w:pPr>
        <w:spacing w:line="360" w:lineRule="auto"/>
        <w:ind w:firstLine="480" w:firstLineChars="200"/>
        <w:outlineLvl w:val="1"/>
        <w:rPr>
          <w:rFonts w:cs="Times New Roman" w:asciiTheme="minorEastAsia" w:hAnsiTheme="minorEastAsia"/>
          <w:kern w:val="0"/>
          <w:sz w:val="24"/>
          <w:szCs w:val="24"/>
        </w:rPr>
      </w:pPr>
      <w:bookmarkStart w:id="34" w:name="_Toc515451680"/>
      <w:bookmarkStart w:id="35" w:name="_Toc9831"/>
      <w:r>
        <w:rPr>
          <w:rFonts w:hint="eastAsia" w:cs="Times New Roman" w:asciiTheme="minorEastAsia" w:hAnsiTheme="minorEastAsia"/>
          <w:kern w:val="0"/>
          <w:sz w:val="24"/>
          <w:szCs w:val="24"/>
        </w:rPr>
        <w:t>（八）认证认可情况</w:t>
      </w:r>
      <w:bookmarkEnd w:id="34"/>
      <w:bookmarkEnd w:id="35"/>
    </w:p>
    <w:p w14:paraId="5CEE38C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目前公司已通过ISO9001质量认证，并准备开展“浙江制造”品牌认证，公司将严格按国际质量管理体系执行，使企业产品的质量得到有力的保障，从而使企业“</w:t>
      </w:r>
      <w:r>
        <w:rPr>
          <w:rFonts w:hint="eastAsia" w:cs="Times New Roman" w:asciiTheme="minorEastAsia" w:hAnsiTheme="minorEastAsia"/>
          <w:kern w:val="0"/>
          <w:sz w:val="24"/>
          <w:szCs w:val="24"/>
          <w:highlight w:val="none"/>
        </w:rPr>
        <w:t>精益求精，顾客满意；开拓创新，以人为本；追求卓越，以质为本；全员参与，持续改进。</w:t>
      </w:r>
      <w:r>
        <w:rPr>
          <w:rFonts w:hint="eastAsia" w:cs="Times New Roman" w:asciiTheme="minorEastAsia" w:hAnsiTheme="minorEastAsia"/>
          <w:kern w:val="0"/>
          <w:sz w:val="24"/>
          <w:szCs w:val="24"/>
        </w:rPr>
        <w:t>”的质量方针得以顺利推行。</w:t>
      </w:r>
    </w:p>
    <w:p w14:paraId="4E35A48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--管理体系</w:t>
      </w:r>
    </w:p>
    <w:p w14:paraId="5F8409FA">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通过</w:t>
      </w:r>
      <w:r>
        <w:rPr>
          <w:rFonts w:hint="eastAsia" w:cs="Times New Roman" w:asciiTheme="minorEastAsia" w:hAnsiTheme="minorEastAsia"/>
          <w:kern w:val="0"/>
          <w:sz w:val="24"/>
          <w:szCs w:val="24"/>
          <w:highlight w:val="none"/>
        </w:rPr>
        <w:t>ISO9001、ISO14001和ISO45001</w:t>
      </w:r>
      <w:r>
        <w:rPr>
          <w:rFonts w:hint="eastAsia" w:cs="Times New Roman" w:asciiTheme="minorEastAsia" w:hAnsiTheme="minorEastAsia"/>
          <w:kern w:val="0"/>
          <w:sz w:val="24"/>
          <w:szCs w:val="24"/>
        </w:rPr>
        <w:t>三体系认证，产品达到业内先进水平。</w:t>
      </w:r>
    </w:p>
    <w:p w14:paraId="14E343D8">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--产品认证</w:t>
      </w:r>
    </w:p>
    <w:p w14:paraId="3A2641BE">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公司主要产品性能指标达到国内领先水平。</w:t>
      </w:r>
    </w:p>
    <w:p w14:paraId="230D37A3">
      <w:pPr>
        <w:spacing w:line="360" w:lineRule="auto"/>
        <w:ind w:firstLine="480" w:firstLineChars="200"/>
        <w:outlineLvl w:val="1"/>
        <w:rPr>
          <w:rFonts w:cs="Times New Roman" w:asciiTheme="minorEastAsia" w:hAnsiTheme="minorEastAsia"/>
          <w:kern w:val="0"/>
          <w:sz w:val="24"/>
          <w:szCs w:val="24"/>
        </w:rPr>
      </w:pPr>
      <w:bookmarkStart w:id="36" w:name="_Toc110"/>
      <w:bookmarkStart w:id="37" w:name="_Toc515451683"/>
      <w:r>
        <w:rPr>
          <w:rFonts w:hint="eastAsia" w:cs="Times New Roman" w:asciiTheme="minorEastAsia" w:hAnsiTheme="minorEastAsia"/>
          <w:kern w:val="0"/>
          <w:sz w:val="24"/>
          <w:szCs w:val="24"/>
        </w:rPr>
        <w:t>（九）产品质量承诺</w:t>
      </w:r>
      <w:bookmarkEnd w:id="36"/>
    </w:p>
    <w:bookmarkEnd w:id="37"/>
    <w:p w14:paraId="2535A1C1">
      <w:pPr>
        <w:pStyle w:val="105"/>
        <w:spacing w:line="360" w:lineRule="auto"/>
        <w:ind w:firstLine="480" w:firstLineChars="200"/>
        <w:rPr>
          <w:rFonts w:hint="eastAsia" w:asciiTheme="minorHAnsi" w:hAnsiTheme="minorHAnsi" w:cstheme="minorHAnsi"/>
          <w:sz w:val="24"/>
          <w:szCs w:val="24"/>
          <w:highlight w:val="none"/>
        </w:rPr>
      </w:pPr>
      <w:bookmarkStart w:id="38" w:name="_Toc14390"/>
      <w:r>
        <w:rPr>
          <w:rFonts w:hint="eastAsia" w:asciiTheme="minorHAnsi" w:hAnsiTheme="minorHAnsi" w:cstheme="minorHAnsi"/>
          <w:sz w:val="24"/>
          <w:szCs w:val="24"/>
          <w:highlight w:val="none"/>
          <w:lang w:val="en-US" w:eastAsia="zh-CN"/>
        </w:rPr>
        <w:t>1.</w:t>
      </w:r>
      <w:r>
        <w:rPr>
          <w:rFonts w:hint="eastAsia" w:asciiTheme="minorHAnsi" w:hAnsiTheme="minorHAnsi" w:cstheme="minorHAnsi"/>
          <w:sz w:val="24"/>
          <w:szCs w:val="24"/>
          <w:highlight w:val="none"/>
        </w:rPr>
        <w:t>产品从出厂交付日期起，在符合本文件规定的贮存条件下，产品在两年内应能正常使用。</w:t>
      </w:r>
    </w:p>
    <w:p w14:paraId="6C11E06B">
      <w:pPr>
        <w:pStyle w:val="105"/>
        <w:spacing w:line="360" w:lineRule="auto"/>
        <w:ind w:firstLine="480" w:firstLineChars="200"/>
        <w:rPr>
          <w:rFonts w:asciiTheme="minorHAnsi" w:hAnsiTheme="minorHAnsi" w:cstheme="minorHAnsi"/>
          <w:sz w:val="24"/>
          <w:szCs w:val="24"/>
          <w:highlight w:val="none"/>
        </w:rPr>
      </w:pPr>
      <w:r>
        <w:rPr>
          <w:rFonts w:hint="eastAsia" w:asciiTheme="minorHAnsi" w:hAnsiTheme="minorHAnsi" w:cstheme="minorHAnsi"/>
          <w:sz w:val="24"/>
          <w:szCs w:val="24"/>
          <w:highlight w:val="none"/>
          <w:lang w:val="en-US" w:eastAsia="zh-CN"/>
        </w:rPr>
        <w:t>2.</w:t>
      </w:r>
      <w:r>
        <w:rPr>
          <w:rFonts w:hint="eastAsia" w:asciiTheme="minorHAnsi" w:hAnsiTheme="minorHAnsi" w:cstheme="minorHAnsi"/>
          <w:sz w:val="24"/>
          <w:szCs w:val="24"/>
          <w:highlight w:val="none"/>
        </w:rPr>
        <w:t>产品质量有异议时，应及时做出响应，24h 内为用户提供服务和初步解决方案。</w:t>
      </w:r>
    </w:p>
    <w:p w14:paraId="25B54F22">
      <w:pPr>
        <w:spacing w:line="360" w:lineRule="auto"/>
        <w:ind w:firstLine="480" w:firstLineChars="200"/>
        <w:outlineLvl w:val="1"/>
        <w:rPr>
          <w:rFonts w:cstheme="minorHAnsi"/>
          <w:kern w:val="0"/>
          <w:sz w:val="24"/>
          <w:szCs w:val="24"/>
        </w:rPr>
      </w:pPr>
      <w:r>
        <w:rPr>
          <w:rFonts w:cstheme="minorHAnsi"/>
          <w:kern w:val="0"/>
          <w:sz w:val="24"/>
          <w:szCs w:val="24"/>
        </w:rPr>
        <w:t>（十）质量投诉处理</w:t>
      </w:r>
      <w:bookmarkEnd w:id="38"/>
    </w:p>
    <w:p w14:paraId="554A8B90">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建立并实施顾客投诉处理流程，确保及时有效地处理客户投诉。客户投诉由专职人员处理，每张投诉单，均应严密监控，根据客户投诉类型与程度的差异，以客户为中心并注重收集和解决客户的反馈，并采取必要的纠正/预防措施，以防止类似问题的重复发生。以电话回访的方式跟踪投诉处理过程，了解顾客的满意度。</w:t>
      </w:r>
    </w:p>
    <w:p w14:paraId="3D1ACD32">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同时，公司销售部门对客诉信息定期监测，设立售后服务部门，对市场中重复发生及影响客户满意度和产品体验的问题进行集中收集，并加以分析，形成报告。定期组织内部各部门召开产品质量会议。组建品管圈、跨部门产品质量改善团队、同时联动上游供应商及相关合作伙伴，对重大产品质量问题进行攻坚改善，消除质量风险，提升产品质量满意度。</w:t>
      </w:r>
    </w:p>
    <w:p w14:paraId="34223D63">
      <w:pPr>
        <w:spacing w:line="360" w:lineRule="auto"/>
        <w:ind w:firstLine="480" w:firstLineChars="200"/>
        <w:outlineLvl w:val="1"/>
        <w:rPr>
          <w:rFonts w:cs="Times New Roman" w:asciiTheme="minorEastAsia" w:hAnsiTheme="minorEastAsia"/>
          <w:kern w:val="0"/>
          <w:sz w:val="24"/>
          <w:szCs w:val="24"/>
        </w:rPr>
      </w:pPr>
      <w:bookmarkStart w:id="39" w:name="_Toc21494"/>
      <w:r>
        <w:rPr>
          <w:rFonts w:hint="eastAsia" w:cs="Times New Roman" w:asciiTheme="minorEastAsia" w:hAnsiTheme="minorEastAsia"/>
          <w:kern w:val="0"/>
          <w:sz w:val="24"/>
          <w:szCs w:val="24"/>
        </w:rPr>
        <w:t>（十一）质量风险监测</w:t>
      </w:r>
      <w:bookmarkEnd w:id="39"/>
    </w:p>
    <w:p w14:paraId="39C657FB">
      <w:pPr>
        <w:spacing w:line="360" w:lineRule="auto"/>
        <w:ind w:firstLine="480" w:firstLineChars="200"/>
        <w:rPr>
          <w:rFonts w:cs="Times New Roman" w:asciiTheme="minorEastAsia" w:hAnsiTheme="minorEastAsia"/>
          <w:kern w:val="0"/>
          <w:sz w:val="24"/>
          <w:szCs w:val="24"/>
        </w:rPr>
      </w:pPr>
      <w:r>
        <w:rPr>
          <w:rFonts w:cs="Times New Roman" w:asciiTheme="minorEastAsia" w:hAnsiTheme="minorEastAsia"/>
          <w:kern w:val="0"/>
          <w:sz w:val="24"/>
          <w:szCs w:val="24"/>
        </w:rPr>
        <w:t>公司制定常规产品生产运行控制流程，做到每一个环节严格控制，严格把关，确保每个零件的生产都符合相关要求，确保最终产品质量的合格。公司还运用三检制，即自检、</w:t>
      </w:r>
      <w:r>
        <w:rPr>
          <w:rFonts w:hint="eastAsia" w:cs="Times New Roman" w:asciiTheme="minorEastAsia" w:hAnsiTheme="minorEastAsia"/>
          <w:kern w:val="0"/>
          <w:sz w:val="24"/>
          <w:szCs w:val="24"/>
        </w:rPr>
        <w:t>互检、专检，</w:t>
      </w:r>
      <w:r>
        <w:rPr>
          <w:rFonts w:cs="Times New Roman" w:asciiTheme="minorEastAsia" w:hAnsiTheme="minorEastAsia"/>
          <w:kern w:val="0"/>
          <w:sz w:val="24"/>
          <w:szCs w:val="24"/>
        </w:rPr>
        <w:t>对产品质量进行严格把控。其中自检包括</w:t>
      </w:r>
      <w:r>
        <w:rPr>
          <w:rFonts w:hint="eastAsia" w:cs="Times New Roman" w:asciiTheme="minorEastAsia" w:hAnsiTheme="minorEastAsia"/>
          <w:kern w:val="0"/>
          <w:sz w:val="24"/>
          <w:szCs w:val="24"/>
        </w:rPr>
        <w:t>了</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生产全过程</w:t>
      </w:r>
      <w:r>
        <w:rPr>
          <w:rFonts w:cs="Times New Roman" w:asciiTheme="minorEastAsia" w:hAnsiTheme="minorEastAsia"/>
          <w:kern w:val="0"/>
          <w:sz w:val="24"/>
          <w:szCs w:val="24"/>
        </w:rPr>
        <w:t>，员工对自己所生产出来的产品，按照图纸</w:t>
      </w:r>
      <w:r>
        <w:rPr>
          <w:rFonts w:hint="eastAsia" w:cs="Times New Roman" w:asciiTheme="minorEastAsia" w:hAnsiTheme="minorEastAsia"/>
          <w:kern w:val="0"/>
          <w:sz w:val="24"/>
          <w:szCs w:val="24"/>
        </w:rPr>
        <w:t>或</w:t>
      </w:r>
      <w:r>
        <w:rPr>
          <w:rFonts w:cs="Times New Roman" w:asciiTheme="minorEastAsia" w:hAnsiTheme="minorEastAsia"/>
          <w:kern w:val="0"/>
          <w:sz w:val="24"/>
          <w:szCs w:val="24"/>
        </w:rPr>
        <w:t>要求自行进行检验，并作出是否合格的判定且在</w:t>
      </w:r>
      <w:r>
        <w:rPr>
          <w:rFonts w:hint="eastAsia" w:cs="Times New Roman" w:asciiTheme="minorEastAsia" w:hAnsiTheme="minorEastAsia"/>
          <w:kern w:val="0"/>
          <w:sz w:val="24"/>
          <w:szCs w:val="24"/>
        </w:rPr>
        <w:t>检验记录</w:t>
      </w:r>
      <w:r>
        <w:rPr>
          <w:rFonts w:cs="Times New Roman" w:asciiTheme="minorEastAsia" w:hAnsiTheme="minorEastAsia"/>
          <w:kern w:val="0"/>
          <w:sz w:val="24"/>
          <w:szCs w:val="24"/>
        </w:rPr>
        <w:t>上做好相关的自检记录。单元化模块化的生产模式，使</w:t>
      </w:r>
      <w:r>
        <w:rPr>
          <w:rFonts w:hint="eastAsia" w:cs="Times New Roman" w:asciiTheme="minorEastAsia" w:hAnsiTheme="minorEastAsia"/>
          <w:kern w:val="0"/>
          <w:sz w:val="24"/>
          <w:szCs w:val="24"/>
        </w:rPr>
        <w:t>产品</w:t>
      </w:r>
      <w:r>
        <w:rPr>
          <w:rFonts w:cs="Times New Roman" w:asciiTheme="minorEastAsia" w:hAnsiTheme="minorEastAsia"/>
          <w:kern w:val="0"/>
          <w:sz w:val="24"/>
          <w:szCs w:val="24"/>
        </w:rPr>
        <w:t>关键质量环节得以暴露和控制，进而保证</w:t>
      </w:r>
      <w:r>
        <w:rPr>
          <w:rFonts w:hint="eastAsia" w:cs="Times New Roman" w:asciiTheme="minorEastAsia" w:hAnsiTheme="minorEastAsia"/>
          <w:kern w:val="0"/>
          <w:sz w:val="24"/>
          <w:szCs w:val="24"/>
        </w:rPr>
        <w:t>产品</w:t>
      </w:r>
      <w:r>
        <w:rPr>
          <w:rFonts w:cs="Times New Roman" w:asciiTheme="minorEastAsia" w:hAnsiTheme="minorEastAsia"/>
          <w:kern w:val="0"/>
          <w:sz w:val="24"/>
          <w:szCs w:val="24"/>
        </w:rPr>
        <w:t>质量安全</w:t>
      </w:r>
      <w:r>
        <w:rPr>
          <w:rFonts w:hint="eastAsia" w:cs="Times New Roman" w:asciiTheme="minorEastAsia" w:hAnsiTheme="minorEastAsia"/>
          <w:kern w:val="0"/>
          <w:sz w:val="24"/>
          <w:szCs w:val="24"/>
        </w:rPr>
        <w:t>，防范质量安全风险</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w:t>
      </w:r>
    </w:p>
    <w:p w14:paraId="41C5F705">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制定了质量控制体系，成立了以总经理为最高领导人，质量工艺工程师，材料控制系统、检验与试验控制系统、生产设备控制系统、加工控制系统为组员的质量控制体系结构。并明确了质量控制体系结构及各相关部门职责。</w:t>
      </w:r>
    </w:p>
    <w:p w14:paraId="7BD13F4B">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公司编制以顾客为关注焦点、顾客满意的管理制度规定了在业务过程中的冲突和风险得到有效预防和处理的要求。当发生与顾客关系重大问题时，规定了制定应急措施进行处理。</w:t>
      </w:r>
    </w:p>
    <w:p w14:paraId="178D2DBF">
      <w:pPr>
        <w:spacing w:line="360" w:lineRule="auto"/>
        <w:ind w:firstLine="480" w:firstLineChars="200"/>
        <w:outlineLvl w:val="0"/>
        <w:rPr>
          <w:rFonts w:cs="Times New Roman" w:asciiTheme="minorEastAsia" w:hAnsiTheme="minorEastAsia"/>
          <w:kern w:val="0"/>
          <w:sz w:val="24"/>
          <w:szCs w:val="24"/>
        </w:rPr>
      </w:pPr>
      <w:bookmarkStart w:id="40" w:name="_Toc14688"/>
      <w:r>
        <w:rPr>
          <w:rFonts w:hint="eastAsia" w:cs="Times New Roman" w:asciiTheme="minorEastAsia" w:hAnsiTheme="minorEastAsia"/>
          <w:kern w:val="0"/>
          <w:sz w:val="24"/>
          <w:szCs w:val="24"/>
        </w:rPr>
        <w:t>三、展望</w:t>
      </w:r>
      <w:bookmarkEnd w:id="40"/>
    </w:p>
    <w:p w14:paraId="6BF32B67">
      <w:pPr>
        <w:spacing w:line="360" w:lineRule="auto"/>
        <w:ind w:firstLine="480"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多年来，我们坚定不移地走合作共赢的发展道路，与众多优秀合作伙伴开展全方位、多形式的合资与合作，在合作中学习，在合作中提高，追求长期发展和互利共赢。我们相信，通过智慧的联合，团队的协作，将帮助我们实现优势互补。</w:t>
      </w:r>
    </w:p>
    <w:p w14:paraId="58BDC5C9">
      <w:pPr>
        <w:spacing w:line="360" w:lineRule="auto"/>
        <w:ind w:firstLine="480" w:firstLineChars="200"/>
        <w:rPr>
          <w:rFonts w:cs="Times New Roman" w:asciiTheme="minorEastAsia" w:hAnsiTheme="minorEastAsia"/>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Narrow">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F67F">
    <w:pPr>
      <w:pStyle w:val="28"/>
      <w:jc w:val="left"/>
    </w:pPr>
    <w:r>
      <w:drawing>
        <wp:anchor distT="0" distB="0" distL="114300" distR="114300" simplePos="0" relativeHeight="251659264" behindDoc="0" locked="0" layoutInCell="1" allowOverlap="1">
          <wp:simplePos x="0" y="0"/>
          <wp:positionH relativeFrom="column">
            <wp:posOffset>28575</wp:posOffset>
          </wp:positionH>
          <wp:positionV relativeFrom="paragraph">
            <wp:posOffset>-485775</wp:posOffset>
          </wp:positionV>
          <wp:extent cx="680720" cy="647700"/>
          <wp:effectExtent l="0" t="0" r="508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
                  <a:stretch>
                    <a:fillRect/>
                  </a:stretch>
                </pic:blipFill>
                <pic:spPr>
                  <a:xfrm>
                    <a:off x="0" y="0"/>
                    <a:ext cx="68072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98"/>
      <w:suff w:val="nothing"/>
      <w:lvlText w:val="%1"/>
      <w:lvlJc w:val="left"/>
      <w:pPr>
        <w:ind w:left="0" w:firstLine="0"/>
      </w:pPr>
      <w:rPr>
        <w:rFonts w:hint="default" w:ascii="Times New Roman" w:hAnsi="Times New Roman"/>
        <w:b/>
        <w:i w:val="0"/>
        <w:sz w:val="21"/>
      </w:rPr>
    </w:lvl>
    <w:lvl w:ilvl="1" w:tentative="0">
      <w:start w:val="1"/>
      <w:numFmt w:val="decimal"/>
      <w:pStyle w:val="99"/>
      <w:suff w:val="nothing"/>
      <w:lvlText w:val="%1%2　"/>
      <w:lvlJc w:val="left"/>
      <w:pPr>
        <w:ind w:left="0" w:firstLine="0"/>
      </w:pPr>
      <w:rPr>
        <w:rFonts w:hint="eastAsia" w:ascii="黑体" w:hAnsi="Times New Roman" w:eastAsia="黑体"/>
        <w:b w:val="0"/>
        <w:i w:val="0"/>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101"/>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Zjc4MGQ1ODJmNzEzNzUyZjRiZWM3ZWVjYjRhYmIifQ=="/>
  </w:docVars>
  <w:rsids>
    <w:rsidRoot w:val="00CD5536"/>
    <w:rsid w:val="000001E5"/>
    <w:rsid w:val="00004397"/>
    <w:rsid w:val="00015645"/>
    <w:rsid w:val="00021662"/>
    <w:rsid w:val="00036A7A"/>
    <w:rsid w:val="000437A1"/>
    <w:rsid w:val="000519DC"/>
    <w:rsid w:val="0005457F"/>
    <w:rsid w:val="00063F4D"/>
    <w:rsid w:val="00066D0C"/>
    <w:rsid w:val="00077D7B"/>
    <w:rsid w:val="0009113C"/>
    <w:rsid w:val="00091477"/>
    <w:rsid w:val="000934BE"/>
    <w:rsid w:val="00093D9A"/>
    <w:rsid w:val="000C3B69"/>
    <w:rsid w:val="000C7797"/>
    <w:rsid w:val="000F2948"/>
    <w:rsid w:val="000F668C"/>
    <w:rsid w:val="001100C5"/>
    <w:rsid w:val="00116ECF"/>
    <w:rsid w:val="00131595"/>
    <w:rsid w:val="001360AA"/>
    <w:rsid w:val="001435B5"/>
    <w:rsid w:val="00153385"/>
    <w:rsid w:val="00165DCC"/>
    <w:rsid w:val="0017669F"/>
    <w:rsid w:val="00186145"/>
    <w:rsid w:val="00187913"/>
    <w:rsid w:val="001B6A47"/>
    <w:rsid w:val="001C1CAA"/>
    <w:rsid w:val="001D1108"/>
    <w:rsid w:val="001F317C"/>
    <w:rsid w:val="001F5694"/>
    <w:rsid w:val="0020185A"/>
    <w:rsid w:val="00205BD5"/>
    <w:rsid w:val="002204FD"/>
    <w:rsid w:val="00225468"/>
    <w:rsid w:val="00233AAC"/>
    <w:rsid w:val="00234E6C"/>
    <w:rsid w:val="00241399"/>
    <w:rsid w:val="0024604C"/>
    <w:rsid w:val="00250A59"/>
    <w:rsid w:val="00250CD1"/>
    <w:rsid w:val="00262045"/>
    <w:rsid w:val="002827AB"/>
    <w:rsid w:val="002B6B4E"/>
    <w:rsid w:val="002D2D0C"/>
    <w:rsid w:val="002F65F1"/>
    <w:rsid w:val="00310AC9"/>
    <w:rsid w:val="00330422"/>
    <w:rsid w:val="00336210"/>
    <w:rsid w:val="0035589D"/>
    <w:rsid w:val="00356491"/>
    <w:rsid w:val="003571F1"/>
    <w:rsid w:val="00377118"/>
    <w:rsid w:val="003809D1"/>
    <w:rsid w:val="003906B1"/>
    <w:rsid w:val="00397853"/>
    <w:rsid w:val="003B02BA"/>
    <w:rsid w:val="003B6748"/>
    <w:rsid w:val="003C2E66"/>
    <w:rsid w:val="003C2FB7"/>
    <w:rsid w:val="003C7C77"/>
    <w:rsid w:val="003D6397"/>
    <w:rsid w:val="004314BE"/>
    <w:rsid w:val="004432F6"/>
    <w:rsid w:val="00451B40"/>
    <w:rsid w:val="00463CC3"/>
    <w:rsid w:val="00470308"/>
    <w:rsid w:val="004805CD"/>
    <w:rsid w:val="00483C04"/>
    <w:rsid w:val="004848C6"/>
    <w:rsid w:val="00485095"/>
    <w:rsid w:val="004947D8"/>
    <w:rsid w:val="004978CF"/>
    <w:rsid w:val="004A06E6"/>
    <w:rsid w:val="004B21B4"/>
    <w:rsid w:val="004B2217"/>
    <w:rsid w:val="004B501E"/>
    <w:rsid w:val="004C5677"/>
    <w:rsid w:val="004D70BA"/>
    <w:rsid w:val="00502028"/>
    <w:rsid w:val="0051403C"/>
    <w:rsid w:val="0053275A"/>
    <w:rsid w:val="00533338"/>
    <w:rsid w:val="00535E17"/>
    <w:rsid w:val="005445FD"/>
    <w:rsid w:val="00545C25"/>
    <w:rsid w:val="00554B93"/>
    <w:rsid w:val="005572C7"/>
    <w:rsid w:val="00564830"/>
    <w:rsid w:val="005A40F6"/>
    <w:rsid w:val="005A5A6F"/>
    <w:rsid w:val="005A74DA"/>
    <w:rsid w:val="005B2CE2"/>
    <w:rsid w:val="005D770E"/>
    <w:rsid w:val="005E4681"/>
    <w:rsid w:val="00603844"/>
    <w:rsid w:val="00623075"/>
    <w:rsid w:val="00625F82"/>
    <w:rsid w:val="00634892"/>
    <w:rsid w:val="00637B07"/>
    <w:rsid w:val="006644E1"/>
    <w:rsid w:val="00667FBF"/>
    <w:rsid w:val="00671E41"/>
    <w:rsid w:val="00686622"/>
    <w:rsid w:val="00695D3A"/>
    <w:rsid w:val="006A4B0E"/>
    <w:rsid w:val="006B2397"/>
    <w:rsid w:val="006C0B69"/>
    <w:rsid w:val="006F6F50"/>
    <w:rsid w:val="00703B80"/>
    <w:rsid w:val="00716577"/>
    <w:rsid w:val="00717D02"/>
    <w:rsid w:val="00730453"/>
    <w:rsid w:val="00730A7E"/>
    <w:rsid w:val="00736DA1"/>
    <w:rsid w:val="007441FF"/>
    <w:rsid w:val="00744874"/>
    <w:rsid w:val="00744B55"/>
    <w:rsid w:val="007557C6"/>
    <w:rsid w:val="00767175"/>
    <w:rsid w:val="00772D20"/>
    <w:rsid w:val="00793FD8"/>
    <w:rsid w:val="007B1A38"/>
    <w:rsid w:val="00816169"/>
    <w:rsid w:val="00824AF2"/>
    <w:rsid w:val="00835031"/>
    <w:rsid w:val="00836A2D"/>
    <w:rsid w:val="00880909"/>
    <w:rsid w:val="00880AAF"/>
    <w:rsid w:val="008A2719"/>
    <w:rsid w:val="008B2A22"/>
    <w:rsid w:val="008C15FE"/>
    <w:rsid w:val="008D6DB7"/>
    <w:rsid w:val="008D77ED"/>
    <w:rsid w:val="008E69B7"/>
    <w:rsid w:val="008E7DC2"/>
    <w:rsid w:val="008F3E0E"/>
    <w:rsid w:val="009033C1"/>
    <w:rsid w:val="009112BB"/>
    <w:rsid w:val="00941F52"/>
    <w:rsid w:val="0094693B"/>
    <w:rsid w:val="00951B16"/>
    <w:rsid w:val="0095632E"/>
    <w:rsid w:val="00966680"/>
    <w:rsid w:val="00973DEE"/>
    <w:rsid w:val="009811C7"/>
    <w:rsid w:val="00992744"/>
    <w:rsid w:val="009A0384"/>
    <w:rsid w:val="009B3814"/>
    <w:rsid w:val="009D6A8A"/>
    <w:rsid w:val="009E1659"/>
    <w:rsid w:val="009E3E8F"/>
    <w:rsid w:val="009F3E59"/>
    <w:rsid w:val="009F5B39"/>
    <w:rsid w:val="009F7CA5"/>
    <w:rsid w:val="009F7FA0"/>
    <w:rsid w:val="00A24EEA"/>
    <w:rsid w:val="00A31629"/>
    <w:rsid w:val="00A322BA"/>
    <w:rsid w:val="00A41920"/>
    <w:rsid w:val="00A76FA3"/>
    <w:rsid w:val="00A80F7B"/>
    <w:rsid w:val="00A961E7"/>
    <w:rsid w:val="00AB2525"/>
    <w:rsid w:val="00AF5419"/>
    <w:rsid w:val="00B02351"/>
    <w:rsid w:val="00B0616B"/>
    <w:rsid w:val="00B1748F"/>
    <w:rsid w:val="00B21EF1"/>
    <w:rsid w:val="00B3405E"/>
    <w:rsid w:val="00B36410"/>
    <w:rsid w:val="00B575F2"/>
    <w:rsid w:val="00B65A19"/>
    <w:rsid w:val="00B6701A"/>
    <w:rsid w:val="00B7013E"/>
    <w:rsid w:val="00B81A74"/>
    <w:rsid w:val="00B91746"/>
    <w:rsid w:val="00B9573E"/>
    <w:rsid w:val="00BA0555"/>
    <w:rsid w:val="00BA119F"/>
    <w:rsid w:val="00BA7FD7"/>
    <w:rsid w:val="00BB2768"/>
    <w:rsid w:val="00BD23D5"/>
    <w:rsid w:val="00BD4111"/>
    <w:rsid w:val="00BF63C4"/>
    <w:rsid w:val="00C038A5"/>
    <w:rsid w:val="00C30E1C"/>
    <w:rsid w:val="00C5360B"/>
    <w:rsid w:val="00C626FE"/>
    <w:rsid w:val="00C62CC5"/>
    <w:rsid w:val="00C72D50"/>
    <w:rsid w:val="00C75F8D"/>
    <w:rsid w:val="00C76CCB"/>
    <w:rsid w:val="00C93C36"/>
    <w:rsid w:val="00CB51D4"/>
    <w:rsid w:val="00CB5ACF"/>
    <w:rsid w:val="00CD0A01"/>
    <w:rsid w:val="00CD5536"/>
    <w:rsid w:val="00CD5A41"/>
    <w:rsid w:val="00CD6E6A"/>
    <w:rsid w:val="00CD7DCD"/>
    <w:rsid w:val="00CF5AE9"/>
    <w:rsid w:val="00D0108B"/>
    <w:rsid w:val="00D43FE8"/>
    <w:rsid w:val="00D56F1C"/>
    <w:rsid w:val="00D6201A"/>
    <w:rsid w:val="00D73D4C"/>
    <w:rsid w:val="00D76656"/>
    <w:rsid w:val="00D77F15"/>
    <w:rsid w:val="00D81A98"/>
    <w:rsid w:val="00D93CED"/>
    <w:rsid w:val="00D958DE"/>
    <w:rsid w:val="00DA2CD0"/>
    <w:rsid w:val="00DA3FF1"/>
    <w:rsid w:val="00DA65EA"/>
    <w:rsid w:val="00DC004C"/>
    <w:rsid w:val="00DC6F7A"/>
    <w:rsid w:val="00DE4547"/>
    <w:rsid w:val="00DE4754"/>
    <w:rsid w:val="00DF4477"/>
    <w:rsid w:val="00DF7ADB"/>
    <w:rsid w:val="00E1560D"/>
    <w:rsid w:val="00E15C82"/>
    <w:rsid w:val="00E23FAD"/>
    <w:rsid w:val="00E30710"/>
    <w:rsid w:val="00E30F23"/>
    <w:rsid w:val="00E329A5"/>
    <w:rsid w:val="00E52188"/>
    <w:rsid w:val="00E528E6"/>
    <w:rsid w:val="00E705B8"/>
    <w:rsid w:val="00EA0119"/>
    <w:rsid w:val="00EA43FF"/>
    <w:rsid w:val="00EB6662"/>
    <w:rsid w:val="00EB7E32"/>
    <w:rsid w:val="00EC487B"/>
    <w:rsid w:val="00EC5685"/>
    <w:rsid w:val="00EE738D"/>
    <w:rsid w:val="00EF1F95"/>
    <w:rsid w:val="00EF7C30"/>
    <w:rsid w:val="00EF7FEC"/>
    <w:rsid w:val="00F02061"/>
    <w:rsid w:val="00F13B6E"/>
    <w:rsid w:val="00F3375E"/>
    <w:rsid w:val="00F63BE9"/>
    <w:rsid w:val="00F72C6E"/>
    <w:rsid w:val="00F73F58"/>
    <w:rsid w:val="00F96B5F"/>
    <w:rsid w:val="00FA4EBD"/>
    <w:rsid w:val="00FC4345"/>
    <w:rsid w:val="00FC43B5"/>
    <w:rsid w:val="00FC650D"/>
    <w:rsid w:val="00FE3F4F"/>
    <w:rsid w:val="00FF0634"/>
    <w:rsid w:val="00FF5A90"/>
    <w:rsid w:val="01915353"/>
    <w:rsid w:val="03AF34A2"/>
    <w:rsid w:val="05205355"/>
    <w:rsid w:val="060374E1"/>
    <w:rsid w:val="099540F5"/>
    <w:rsid w:val="099C3C23"/>
    <w:rsid w:val="0E92577A"/>
    <w:rsid w:val="15E4163C"/>
    <w:rsid w:val="1FE32AA5"/>
    <w:rsid w:val="223775AC"/>
    <w:rsid w:val="23DB1D7E"/>
    <w:rsid w:val="260B328E"/>
    <w:rsid w:val="277B0325"/>
    <w:rsid w:val="28C07367"/>
    <w:rsid w:val="2B172F30"/>
    <w:rsid w:val="2E5A64A6"/>
    <w:rsid w:val="2F91426B"/>
    <w:rsid w:val="31726B84"/>
    <w:rsid w:val="41BC5261"/>
    <w:rsid w:val="48D811F5"/>
    <w:rsid w:val="4D555728"/>
    <w:rsid w:val="4E5A19FE"/>
    <w:rsid w:val="52631F37"/>
    <w:rsid w:val="53670EDD"/>
    <w:rsid w:val="56971A46"/>
    <w:rsid w:val="57B23D6F"/>
    <w:rsid w:val="5965519C"/>
    <w:rsid w:val="5B977ED0"/>
    <w:rsid w:val="5F7610AD"/>
    <w:rsid w:val="60ED2BCA"/>
    <w:rsid w:val="69D13148"/>
    <w:rsid w:val="6C45775B"/>
    <w:rsid w:val="6D424B8A"/>
    <w:rsid w:val="732F36FA"/>
    <w:rsid w:val="75332B1D"/>
    <w:rsid w:val="78746025"/>
    <w:rsid w:val="7A2A625A"/>
    <w:rsid w:val="7A96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qFormat="1" w:uiPriority="99" w:semiHidden="0"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60"/>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1"/>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2"/>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3"/>
    <w:autoRedefine/>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2"/>
    <w:qFormat/>
    <w:uiPriority w:val="99"/>
    <w:pPr>
      <w:jc w:val="center"/>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Document Map"/>
    <w:basedOn w:val="1"/>
    <w:link w:val="77"/>
    <w:autoRedefine/>
    <w:unhideWhenUsed/>
    <w:qFormat/>
    <w:uiPriority w:val="99"/>
    <w:rPr>
      <w:rFonts w:ascii="宋体" w:hAnsi="Calibri" w:eastAsia="宋体" w:cs="Times New Roman"/>
      <w:sz w:val="18"/>
      <w:szCs w:val="18"/>
    </w:rPr>
  </w:style>
  <w:style w:type="paragraph" w:styleId="14">
    <w:name w:val="toa heading"/>
    <w:basedOn w:val="1"/>
    <w:next w:val="1"/>
    <w:autoRedefine/>
    <w:semiHidden/>
    <w:qFormat/>
    <w:uiPriority w:val="0"/>
    <w:pPr>
      <w:spacing w:before="120"/>
    </w:pPr>
    <w:rPr>
      <w:rFonts w:ascii="Arial" w:hAnsi="Arial" w:eastAsia="宋体" w:cs="Times New Roman"/>
      <w:b/>
      <w:bCs/>
      <w:szCs w:val="21"/>
    </w:rPr>
  </w:style>
  <w:style w:type="paragraph" w:styleId="15">
    <w:name w:val="annotation text"/>
    <w:basedOn w:val="1"/>
    <w:link w:val="53"/>
    <w:autoRedefine/>
    <w:unhideWhenUsed/>
    <w:qFormat/>
    <w:uiPriority w:val="99"/>
    <w:pPr>
      <w:jc w:val="left"/>
    </w:pPr>
  </w:style>
  <w:style w:type="paragraph" w:styleId="16">
    <w:name w:val="Salutation"/>
    <w:basedOn w:val="1"/>
    <w:next w:val="1"/>
    <w:link w:val="64"/>
    <w:qFormat/>
    <w:uiPriority w:val="99"/>
    <w:rPr>
      <w:rFonts w:ascii="Times New Roman" w:hAnsi="Times New Roman" w:eastAsia="宋体" w:cs="Times New Roman"/>
      <w:szCs w:val="21"/>
    </w:rPr>
  </w:style>
  <w:style w:type="paragraph" w:styleId="17">
    <w:name w:val="List Bullet 3"/>
    <w:basedOn w:val="1"/>
    <w:autoRedefine/>
    <w:qFormat/>
    <w:uiPriority w:val="0"/>
    <w:pPr>
      <w:tabs>
        <w:tab w:val="left" w:pos="1200"/>
      </w:tabs>
    </w:pPr>
    <w:rPr>
      <w:rFonts w:ascii="Times New Roman" w:hAnsi="Times New Roman" w:eastAsia="宋体" w:cs="Times New Roman"/>
      <w:szCs w:val="21"/>
    </w:rPr>
  </w:style>
  <w:style w:type="paragraph" w:styleId="18">
    <w:name w:val="Body Text"/>
    <w:basedOn w:val="1"/>
    <w:link w:val="69"/>
    <w:autoRedefine/>
    <w:qFormat/>
    <w:uiPriority w:val="99"/>
    <w:pPr>
      <w:spacing w:after="120"/>
    </w:pPr>
    <w:rPr>
      <w:rFonts w:ascii="Times New Roman" w:hAnsi="Times New Roman" w:eastAsia="宋体" w:cs="Times New Roman"/>
      <w:szCs w:val="21"/>
    </w:rPr>
  </w:style>
  <w:style w:type="paragraph" w:styleId="19">
    <w:name w:val="Body Text Indent"/>
    <w:basedOn w:val="1"/>
    <w:autoRedefine/>
    <w:qFormat/>
    <w:uiPriority w:val="0"/>
    <w:pPr>
      <w:spacing w:line="480" w:lineRule="exact"/>
      <w:ind w:firstLine="480" w:firstLineChars="200"/>
    </w:pPr>
    <w:rPr>
      <w:sz w:val="24"/>
    </w:rPr>
  </w:style>
  <w:style w:type="paragraph" w:styleId="20">
    <w:name w:val="toc 5"/>
    <w:basedOn w:val="1"/>
    <w:next w:val="1"/>
    <w:autoRedefine/>
    <w:unhideWhenUsed/>
    <w:qFormat/>
    <w:uiPriority w:val="39"/>
    <w:pPr>
      <w:ind w:left="1680" w:leftChars="800"/>
    </w:pPr>
  </w:style>
  <w:style w:type="paragraph" w:styleId="21">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2">
    <w:name w:val="Plain Text"/>
    <w:basedOn w:val="1"/>
    <w:link w:val="67"/>
    <w:autoRedefine/>
    <w:qFormat/>
    <w:uiPriority w:val="0"/>
    <w:rPr>
      <w:rFonts w:ascii="宋体" w:hAnsi="Courier New" w:eastAsia="宋体" w:cs="Times New Roman"/>
      <w:szCs w:val="20"/>
    </w:rPr>
  </w:style>
  <w:style w:type="paragraph" w:styleId="23">
    <w:name w:val="toc 8"/>
    <w:basedOn w:val="1"/>
    <w:next w:val="1"/>
    <w:autoRedefine/>
    <w:unhideWhenUsed/>
    <w:qFormat/>
    <w:uiPriority w:val="39"/>
    <w:pPr>
      <w:ind w:left="2940" w:leftChars="1400"/>
    </w:pPr>
  </w:style>
  <w:style w:type="paragraph" w:styleId="24">
    <w:name w:val="Date"/>
    <w:basedOn w:val="1"/>
    <w:next w:val="1"/>
    <w:link w:val="71"/>
    <w:autoRedefine/>
    <w:qFormat/>
    <w:uiPriority w:val="99"/>
    <w:pPr>
      <w:ind w:left="100" w:leftChars="2500"/>
    </w:pPr>
    <w:rPr>
      <w:rFonts w:ascii="Times New Roman" w:hAnsi="Times New Roman" w:eastAsia="宋体" w:cs="Times New Roman"/>
      <w:szCs w:val="21"/>
    </w:rPr>
  </w:style>
  <w:style w:type="paragraph" w:styleId="25">
    <w:name w:val="endnote text"/>
    <w:basedOn w:val="1"/>
    <w:link w:val="81"/>
    <w:autoRedefine/>
    <w:unhideWhenUsed/>
    <w:qFormat/>
    <w:uiPriority w:val="99"/>
    <w:pPr>
      <w:widowControl/>
      <w:snapToGrid w:val="0"/>
      <w:jc w:val="left"/>
    </w:pPr>
    <w:rPr>
      <w:rFonts w:ascii="宋体" w:hAnsi="宋体" w:eastAsia="宋体" w:cs="宋体"/>
      <w:kern w:val="0"/>
      <w:szCs w:val="24"/>
    </w:rPr>
  </w:style>
  <w:style w:type="paragraph" w:styleId="26">
    <w:name w:val="Balloon Text"/>
    <w:basedOn w:val="1"/>
    <w:link w:val="55"/>
    <w:autoRedefine/>
    <w:unhideWhenUsed/>
    <w:qFormat/>
    <w:uiPriority w:val="99"/>
    <w:rPr>
      <w:sz w:val="18"/>
      <w:szCs w:val="18"/>
    </w:rPr>
  </w:style>
  <w:style w:type="paragraph" w:styleId="27">
    <w:name w:val="footer"/>
    <w:basedOn w:val="1"/>
    <w:link w:val="47"/>
    <w:autoRedefine/>
    <w:unhideWhenUsed/>
    <w:qFormat/>
    <w:uiPriority w:val="99"/>
    <w:pPr>
      <w:tabs>
        <w:tab w:val="center" w:pos="4153"/>
        <w:tab w:val="right" w:pos="8306"/>
      </w:tabs>
      <w:snapToGrid w:val="0"/>
      <w:jc w:val="left"/>
    </w:pPr>
    <w:rPr>
      <w:sz w:val="18"/>
      <w:szCs w:val="18"/>
    </w:rPr>
  </w:style>
  <w:style w:type="paragraph" w:styleId="2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ind w:left="1260" w:leftChars="600"/>
    </w:pPr>
  </w:style>
  <w:style w:type="paragraph" w:styleId="31">
    <w:name w:val="toc 6"/>
    <w:basedOn w:val="1"/>
    <w:next w:val="1"/>
    <w:autoRedefine/>
    <w:unhideWhenUsed/>
    <w:qFormat/>
    <w:uiPriority w:val="39"/>
    <w:pPr>
      <w:ind w:left="2100" w:leftChars="1000"/>
    </w:pPr>
  </w:style>
  <w:style w:type="paragraph" w:styleId="32">
    <w:name w:val="toc 2"/>
    <w:basedOn w:val="1"/>
    <w:next w:val="1"/>
    <w:autoRedefine/>
    <w:unhideWhenUsed/>
    <w:qFormat/>
    <w:uiPriority w:val="39"/>
    <w:pPr>
      <w:ind w:left="420" w:leftChars="200"/>
    </w:pPr>
  </w:style>
  <w:style w:type="paragraph" w:styleId="33">
    <w:name w:val="toc 9"/>
    <w:basedOn w:val="1"/>
    <w:next w:val="1"/>
    <w:autoRedefine/>
    <w:unhideWhenUsed/>
    <w:qFormat/>
    <w:uiPriority w:val="39"/>
    <w:pPr>
      <w:ind w:left="3360" w:leftChars="1600"/>
    </w:pPr>
  </w:style>
  <w:style w:type="paragraph" w:styleId="3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6">
    <w:name w:val="Title"/>
    <w:basedOn w:val="1"/>
    <w:next w:val="1"/>
    <w:link w:val="79"/>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7">
    <w:name w:val="annotation subject"/>
    <w:basedOn w:val="15"/>
    <w:next w:val="15"/>
    <w:link w:val="54"/>
    <w:autoRedefine/>
    <w:unhideWhenUsed/>
    <w:qFormat/>
    <w:uiPriority w:val="99"/>
    <w:rPr>
      <w:b/>
      <w:bCs/>
    </w:rPr>
  </w:style>
  <w:style w:type="paragraph" w:styleId="38">
    <w:name w:val="Body Text First Indent 2"/>
    <w:basedOn w:val="19"/>
    <w:autoRedefine/>
    <w:unhideWhenUsed/>
    <w:qFormat/>
    <w:uiPriority w:val="99"/>
    <w:pPr>
      <w:ind w:firstLine="420"/>
    </w:pPr>
  </w:style>
  <w:style w:type="table" w:styleId="40">
    <w:name w:val="Table Grid"/>
    <w:basedOn w:val="3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endnote reference"/>
    <w:basedOn w:val="41"/>
    <w:autoRedefine/>
    <w:unhideWhenUsed/>
    <w:qFormat/>
    <w:uiPriority w:val="99"/>
    <w:rPr>
      <w:vertAlign w:val="superscript"/>
    </w:rPr>
  </w:style>
  <w:style w:type="character" w:styleId="43">
    <w:name w:val="page number"/>
    <w:basedOn w:val="41"/>
    <w:autoRedefine/>
    <w:qFormat/>
    <w:uiPriority w:val="0"/>
  </w:style>
  <w:style w:type="character" w:styleId="44">
    <w:name w:val="Hyperlink"/>
    <w:basedOn w:val="41"/>
    <w:autoRedefine/>
    <w:unhideWhenUsed/>
    <w:qFormat/>
    <w:uiPriority w:val="99"/>
    <w:rPr>
      <w:color w:val="0563C1" w:themeColor="hyperlink"/>
      <w:u w:val="single"/>
      <w14:textFill>
        <w14:solidFill>
          <w14:schemeClr w14:val="hlink"/>
        </w14:solidFill>
      </w14:textFill>
    </w:rPr>
  </w:style>
  <w:style w:type="character" w:styleId="45">
    <w:name w:val="annotation reference"/>
    <w:basedOn w:val="41"/>
    <w:autoRedefine/>
    <w:unhideWhenUsed/>
    <w:qFormat/>
    <w:uiPriority w:val="0"/>
    <w:rPr>
      <w:sz w:val="21"/>
      <w:szCs w:val="21"/>
    </w:rPr>
  </w:style>
  <w:style w:type="character" w:customStyle="1" w:styleId="46">
    <w:name w:val="页眉 字符"/>
    <w:basedOn w:val="41"/>
    <w:link w:val="28"/>
    <w:autoRedefine/>
    <w:qFormat/>
    <w:uiPriority w:val="99"/>
    <w:rPr>
      <w:sz w:val="18"/>
      <w:szCs w:val="18"/>
    </w:rPr>
  </w:style>
  <w:style w:type="character" w:customStyle="1" w:styleId="47">
    <w:name w:val="页脚 字符"/>
    <w:basedOn w:val="41"/>
    <w:link w:val="27"/>
    <w:autoRedefine/>
    <w:qFormat/>
    <w:uiPriority w:val="99"/>
    <w:rPr>
      <w:sz w:val="18"/>
      <w:szCs w:val="18"/>
    </w:rPr>
  </w:style>
  <w:style w:type="paragraph" w:customStyle="1" w:styleId="48">
    <w:name w:val="aSTL正文"/>
    <w:basedOn w:val="1"/>
    <w:link w:val="49"/>
    <w:autoRedefine/>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49">
    <w:name w:val="aSTL正文 Char"/>
    <w:link w:val="48"/>
    <w:autoRedefine/>
    <w:qFormat/>
    <w:uiPriority w:val="0"/>
    <w:rPr>
      <w:rFonts w:ascii="Calibri" w:hAnsi="Calibri" w:eastAsia="宋体" w:cs="Times New Roman"/>
      <w:kern w:val="0"/>
      <w:sz w:val="24"/>
      <w:szCs w:val="20"/>
      <w:lang w:val="zh-CN" w:eastAsia="zh-CN"/>
    </w:rPr>
  </w:style>
  <w:style w:type="paragraph" w:customStyle="1" w:styleId="50">
    <w:name w:val="4.1.1.1.1"/>
    <w:basedOn w:val="1"/>
    <w:link w:val="51"/>
    <w:autoRedefine/>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1">
    <w:name w:val="4.1.1.1.1 Char"/>
    <w:link w:val="50"/>
    <w:autoRedefine/>
    <w:qFormat/>
    <w:uiPriority w:val="0"/>
    <w:rPr>
      <w:rFonts w:ascii="宋体" w:hAnsi="宋体" w:eastAsia="宋体" w:cs="Times New Roman"/>
      <w:b/>
      <w:color w:val="000000"/>
      <w:kern w:val="0"/>
      <w:sz w:val="24"/>
      <w:szCs w:val="24"/>
      <w:lang w:val="zh-CN" w:eastAsia="zh-CN"/>
    </w:rPr>
  </w:style>
  <w:style w:type="paragraph" w:styleId="52">
    <w:name w:val="List Paragraph"/>
    <w:basedOn w:val="1"/>
    <w:autoRedefine/>
    <w:qFormat/>
    <w:uiPriority w:val="34"/>
    <w:pPr>
      <w:ind w:firstLine="420" w:firstLineChars="200"/>
    </w:pPr>
    <w:rPr>
      <w:rFonts w:ascii="Calibri" w:hAnsi="Calibri" w:eastAsia="宋体" w:cs="Times New Roman"/>
    </w:rPr>
  </w:style>
  <w:style w:type="character" w:customStyle="1" w:styleId="53">
    <w:name w:val="批注文字 字符"/>
    <w:basedOn w:val="41"/>
    <w:link w:val="15"/>
    <w:autoRedefine/>
    <w:qFormat/>
    <w:uiPriority w:val="99"/>
  </w:style>
  <w:style w:type="character" w:customStyle="1" w:styleId="54">
    <w:name w:val="批注主题 字符"/>
    <w:basedOn w:val="53"/>
    <w:link w:val="37"/>
    <w:autoRedefine/>
    <w:qFormat/>
    <w:uiPriority w:val="99"/>
    <w:rPr>
      <w:b/>
      <w:bCs/>
    </w:rPr>
  </w:style>
  <w:style w:type="character" w:customStyle="1" w:styleId="55">
    <w:name w:val="批注框文本 字符"/>
    <w:basedOn w:val="41"/>
    <w:link w:val="26"/>
    <w:autoRedefine/>
    <w:qFormat/>
    <w:uiPriority w:val="99"/>
    <w:rPr>
      <w:sz w:val="18"/>
      <w:szCs w:val="18"/>
    </w:rPr>
  </w:style>
  <w:style w:type="character" w:customStyle="1" w:styleId="56">
    <w:name w:val="标题 1 字符"/>
    <w:basedOn w:val="41"/>
    <w:link w:val="2"/>
    <w:autoRedefine/>
    <w:qFormat/>
    <w:uiPriority w:val="99"/>
    <w:rPr>
      <w:b/>
      <w:bCs/>
      <w:kern w:val="44"/>
      <w:sz w:val="44"/>
      <w:szCs w:val="44"/>
    </w:rPr>
  </w:style>
  <w:style w:type="paragraph" w:customStyle="1" w:styleId="57">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8">
    <w:name w:val="标题 2 字符"/>
    <w:basedOn w:val="41"/>
    <w:link w:val="3"/>
    <w:autoRedefine/>
    <w:qFormat/>
    <w:uiPriority w:val="0"/>
    <w:rPr>
      <w:rFonts w:asciiTheme="majorHAnsi" w:hAnsiTheme="majorHAnsi" w:eastAsiaTheme="majorEastAsia" w:cstheme="majorBidi"/>
      <w:b/>
      <w:bCs/>
      <w:sz w:val="32"/>
      <w:szCs w:val="32"/>
    </w:rPr>
  </w:style>
  <w:style w:type="character" w:customStyle="1" w:styleId="59">
    <w:name w:val="标题 3 字符"/>
    <w:basedOn w:val="41"/>
    <w:link w:val="4"/>
    <w:autoRedefine/>
    <w:qFormat/>
    <w:uiPriority w:val="9"/>
    <w:rPr>
      <w:rFonts w:ascii="Calibri" w:hAnsi="Calibri" w:eastAsia="宋体" w:cs="Times New Roman"/>
      <w:b/>
      <w:bCs/>
      <w:szCs w:val="32"/>
    </w:rPr>
  </w:style>
  <w:style w:type="character" w:customStyle="1" w:styleId="60">
    <w:name w:val="标题 4 字符"/>
    <w:basedOn w:val="41"/>
    <w:link w:val="5"/>
    <w:autoRedefine/>
    <w:qFormat/>
    <w:uiPriority w:val="9"/>
    <w:rPr>
      <w:rFonts w:ascii="Cambria" w:hAnsi="Cambria" w:eastAsia="宋体" w:cs="Times New Roman"/>
      <w:b/>
      <w:bCs/>
      <w:szCs w:val="28"/>
    </w:rPr>
  </w:style>
  <w:style w:type="character" w:customStyle="1" w:styleId="61">
    <w:name w:val="标题 5 字符"/>
    <w:basedOn w:val="41"/>
    <w:link w:val="6"/>
    <w:autoRedefine/>
    <w:qFormat/>
    <w:uiPriority w:val="9"/>
    <w:rPr>
      <w:rFonts w:ascii="Calibri" w:hAnsi="Calibri" w:eastAsia="宋体" w:cs="Times New Roman"/>
      <w:b/>
      <w:bCs/>
      <w:szCs w:val="28"/>
    </w:rPr>
  </w:style>
  <w:style w:type="character" w:customStyle="1" w:styleId="62">
    <w:name w:val="标题 6 字符"/>
    <w:basedOn w:val="41"/>
    <w:link w:val="7"/>
    <w:autoRedefine/>
    <w:qFormat/>
    <w:uiPriority w:val="9"/>
    <w:rPr>
      <w:rFonts w:eastAsia="宋体" w:asciiTheme="majorHAnsi" w:hAnsiTheme="majorHAnsi" w:cstheme="majorBidi"/>
      <w:b/>
      <w:bCs/>
      <w:kern w:val="0"/>
      <w:szCs w:val="24"/>
    </w:rPr>
  </w:style>
  <w:style w:type="character" w:customStyle="1" w:styleId="63">
    <w:name w:val="标题 7 字符"/>
    <w:basedOn w:val="41"/>
    <w:link w:val="8"/>
    <w:autoRedefine/>
    <w:qFormat/>
    <w:uiPriority w:val="9"/>
    <w:rPr>
      <w:rFonts w:ascii="宋体" w:hAnsi="宋体" w:eastAsia="宋体" w:cs="宋体"/>
      <w:b/>
      <w:bCs/>
      <w:kern w:val="0"/>
      <w:sz w:val="24"/>
      <w:szCs w:val="24"/>
    </w:rPr>
  </w:style>
  <w:style w:type="character" w:customStyle="1" w:styleId="64">
    <w:name w:val="称呼 字符"/>
    <w:basedOn w:val="41"/>
    <w:link w:val="16"/>
    <w:autoRedefine/>
    <w:qFormat/>
    <w:uiPriority w:val="99"/>
    <w:rPr>
      <w:rFonts w:ascii="Times New Roman" w:hAnsi="Times New Roman" w:eastAsia="宋体" w:cs="Times New Roman"/>
      <w:szCs w:val="21"/>
    </w:rPr>
  </w:style>
  <w:style w:type="character" w:customStyle="1" w:styleId="65">
    <w:name w:val="notnullcss1"/>
    <w:basedOn w:val="41"/>
    <w:autoRedefine/>
    <w:qFormat/>
    <w:uiPriority w:val="99"/>
    <w:rPr>
      <w:rFonts w:eastAsia="宋体" w:cs="Times New Roman"/>
      <w:color w:val="FF0000"/>
      <w:kern w:val="2"/>
      <w:sz w:val="24"/>
      <w:szCs w:val="24"/>
      <w:lang w:val="en-US" w:eastAsia="zh-CN" w:bidi="ar-SA"/>
    </w:rPr>
  </w:style>
  <w:style w:type="paragraph" w:customStyle="1" w:styleId="66">
    <w:name w:val="xl61"/>
    <w:basedOn w:val="1"/>
    <w:autoRedefine/>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7">
    <w:name w:val="纯文本 字符"/>
    <w:basedOn w:val="41"/>
    <w:link w:val="22"/>
    <w:autoRedefine/>
    <w:qFormat/>
    <w:uiPriority w:val="0"/>
    <w:rPr>
      <w:rFonts w:ascii="宋体" w:hAnsi="Courier New" w:eastAsia="宋体" w:cs="Times New Roman"/>
      <w:szCs w:val="20"/>
    </w:rPr>
  </w:style>
  <w:style w:type="character" w:customStyle="1" w:styleId="68">
    <w:name w:val="headline-content2"/>
    <w:basedOn w:val="41"/>
    <w:autoRedefine/>
    <w:qFormat/>
    <w:uiPriority w:val="0"/>
    <w:rPr>
      <w:rFonts w:eastAsia="宋体" w:cs="Times New Roman"/>
      <w:kern w:val="2"/>
      <w:sz w:val="24"/>
      <w:szCs w:val="24"/>
      <w:lang w:val="en-US" w:eastAsia="zh-CN" w:bidi="ar-SA"/>
    </w:rPr>
  </w:style>
  <w:style w:type="character" w:customStyle="1" w:styleId="69">
    <w:name w:val="正文文本 字符"/>
    <w:basedOn w:val="41"/>
    <w:link w:val="18"/>
    <w:autoRedefine/>
    <w:qFormat/>
    <w:uiPriority w:val="99"/>
    <w:rPr>
      <w:rFonts w:ascii="Times New Roman" w:hAnsi="Times New Roman" w:eastAsia="宋体" w:cs="Times New Roman"/>
      <w:szCs w:val="21"/>
    </w:rPr>
  </w:style>
  <w:style w:type="paragraph" w:customStyle="1" w:styleId="70">
    <w:name w:val="write2"/>
    <w:basedOn w:val="1"/>
    <w:autoRedefine/>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1">
    <w:name w:val="日期 字符"/>
    <w:basedOn w:val="41"/>
    <w:link w:val="24"/>
    <w:autoRedefine/>
    <w:qFormat/>
    <w:uiPriority w:val="99"/>
    <w:rPr>
      <w:rFonts w:ascii="Times New Roman" w:hAnsi="Times New Roman" w:eastAsia="宋体" w:cs="Times New Roman"/>
      <w:szCs w:val="21"/>
    </w:rPr>
  </w:style>
  <w:style w:type="character" w:customStyle="1" w:styleId="72">
    <w:name w:val="注释标题 字符"/>
    <w:basedOn w:val="41"/>
    <w:link w:val="10"/>
    <w:autoRedefine/>
    <w:qFormat/>
    <w:uiPriority w:val="99"/>
    <w:rPr>
      <w:rFonts w:ascii="Times New Roman" w:hAnsi="Times New Roman" w:eastAsia="宋体" w:cs="Times New Roman"/>
      <w:szCs w:val="21"/>
    </w:rPr>
  </w:style>
  <w:style w:type="paragraph" w:customStyle="1" w:styleId="73">
    <w:name w:val="标题5"/>
    <w:basedOn w:val="1"/>
    <w:autoRedefine/>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4">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75">
    <w:name w:val="正文的样式 Char"/>
    <w:basedOn w:val="41"/>
    <w:link w:val="76"/>
    <w:autoRedefine/>
    <w:qFormat/>
    <w:uiPriority w:val="0"/>
    <w:rPr>
      <w:szCs w:val="24"/>
    </w:rPr>
  </w:style>
  <w:style w:type="paragraph" w:customStyle="1" w:styleId="76">
    <w:name w:val="正文的样式"/>
    <w:basedOn w:val="1"/>
    <w:link w:val="75"/>
    <w:autoRedefine/>
    <w:qFormat/>
    <w:uiPriority w:val="0"/>
    <w:pPr>
      <w:spacing w:before="100" w:after="100"/>
    </w:pPr>
    <w:rPr>
      <w:szCs w:val="24"/>
    </w:rPr>
  </w:style>
  <w:style w:type="character" w:customStyle="1" w:styleId="77">
    <w:name w:val="文档结构图 字符"/>
    <w:basedOn w:val="41"/>
    <w:link w:val="13"/>
    <w:autoRedefine/>
    <w:semiHidden/>
    <w:qFormat/>
    <w:uiPriority w:val="99"/>
    <w:rPr>
      <w:rFonts w:ascii="宋体" w:hAnsi="Calibri" w:eastAsia="宋体" w:cs="Times New Roman"/>
      <w:sz w:val="18"/>
      <w:szCs w:val="18"/>
    </w:rPr>
  </w:style>
  <w:style w:type="character" w:styleId="78">
    <w:name w:val="Placeholder Text"/>
    <w:basedOn w:val="41"/>
    <w:autoRedefine/>
    <w:semiHidden/>
    <w:qFormat/>
    <w:uiPriority w:val="99"/>
    <w:rPr>
      <w:color w:val="auto"/>
    </w:rPr>
  </w:style>
  <w:style w:type="character" w:customStyle="1" w:styleId="79">
    <w:name w:val="标题 字符"/>
    <w:basedOn w:val="41"/>
    <w:link w:val="36"/>
    <w:autoRedefine/>
    <w:qFormat/>
    <w:uiPriority w:val="0"/>
    <w:rPr>
      <w:rFonts w:eastAsia="宋体" w:asciiTheme="majorHAnsi" w:hAnsiTheme="majorHAnsi" w:cstheme="majorBidi"/>
      <w:b/>
      <w:bCs/>
      <w:sz w:val="32"/>
      <w:szCs w:val="32"/>
    </w:rPr>
  </w:style>
  <w:style w:type="paragraph" w:styleId="8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81">
    <w:name w:val="尾注文本 字符"/>
    <w:basedOn w:val="41"/>
    <w:link w:val="25"/>
    <w:autoRedefine/>
    <w:semiHidden/>
    <w:qFormat/>
    <w:uiPriority w:val="99"/>
    <w:rPr>
      <w:rFonts w:ascii="宋体" w:hAnsi="宋体" w:eastAsia="宋体" w:cs="宋体"/>
      <w:kern w:val="0"/>
      <w:szCs w:val="24"/>
    </w:rPr>
  </w:style>
  <w:style w:type="character" w:customStyle="1" w:styleId="82">
    <w:name w:val="批注主题 Char1"/>
    <w:basedOn w:val="53"/>
    <w:autoRedefine/>
    <w:semiHidden/>
    <w:qFormat/>
    <w:uiPriority w:val="99"/>
    <w:rPr>
      <w:rFonts w:ascii="Times New Roman" w:hAnsi="Times New Roman" w:eastAsia="宋体" w:cs="Times New Roman"/>
      <w:b/>
      <w:bCs/>
      <w:szCs w:val="21"/>
    </w:rPr>
  </w:style>
  <w:style w:type="character" w:customStyle="1" w:styleId="83">
    <w:name w:val="span_"/>
    <w:basedOn w:val="41"/>
    <w:autoRedefine/>
    <w:qFormat/>
    <w:uiPriority w:val="0"/>
  </w:style>
  <w:style w:type="paragraph" w:customStyle="1" w:styleId="84">
    <w:name w:val="标题  3"/>
    <w:basedOn w:val="1"/>
    <w:next w:val="1"/>
    <w:link w:val="85"/>
    <w:autoRedefine/>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5">
    <w:name w:val="标题  3 Char"/>
    <w:basedOn w:val="41"/>
    <w:link w:val="84"/>
    <w:autoRedefine/>
    <w:qFormat/>
    <w:uiPriority w:val="0"/>
    <w:rPr>
      <w:rFonts w:ascii="Times New Roman" w:hAnsi="Times New Roman" w:eastAsia="宋体" w:cs="Times New Roman"/>
      <w:b/>
      <w:szCs w:val="24"/>
    </w:rPr>
  </w:style>
  <w:style w:type="paragraph" w:customStyle="1" w:styleId="86">
    <w:name w:val="列出段落1"/>
    <w:basedOn w:val="1"/>
    <w:autoRedefine/>
    <w:qFormat/>
    <w:uiPriority w:val="0"/>
    <w:pPr>
      <w:ind w:firstLine="420" w:firstLineChars="200"/>
    </w:pPr>
    <w:rPr>
      <w:rFonts w:ascii="Calibri" w:hAnsi="Calibri" w:eastAsia="宋体" w:cs="Calibri"/>
      <w:szCs w:val="21"/>
    </w:rPr>
  </w:style>
  <w:style w:type="paragraph" w:customStyle="1" w:styleId="87">
    <w:name w:val="报告正文格式1"/>
    <w:basedOn w:val="1"/>
    <w:autoRedefine/>
    <w:qFormat/>
    <w:uiPriority w:val="0"/>
    <w:pPr>
      <w:spacing w:line="360" w:lineRule="auto"/>
      <w:ind w:firstLine="200" w:firstLineChars="200"/>
      <w:jc w:val="left"/>
    </w:pPr>
    <w:rPr>
      <w:rFonts w:ascii="Times New Roman" w:hAnsi="Times New Roman" w:eastAsia="仿宋" w:cs="Times New Roman"/>
      <w:bCs/>
      <w:sz w:val="24"/>
      <w:szCs w:val="24"/>
    </w:rPr>
  </w:style>
  <w:style w:type="paragraph" w:customStyle="1" w:styleId="8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table" w:customStyle="1" w:styleId="89">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0">
    <w:name w:val="Table Paragraph"/>
    <w:basedOn w:val="1"/>
    <w:autoRedefine/>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91">
    <w:name w:val="前言标题"/>
    <w:basedOn w:val="3"/>
    <w:link w:val="93"/>
    <w:autoRedefine/>
    <w:qFormat/>
    <w:uiPriority w:val="0"/>
    <w:pPr>
      <w:spacing w:before="0" w:after="0" w:line="566" w:lineRule="auto"/>
      <w:jc w:val="left"/>
      <w:outlineLvl w:val="9"/>
    </w:pPr>
    <w:rPr>
      <w:rFonts w:ascii="Times New Roman" w:hAnsi="Times New Roman" w:eastAsia="黑体" w:cs="Times New Roman"/>
      <w:b w:val="0"/>
      <w:sz w:val="21"/>
    </w:rPr>
  </w:style>
  <w:style w:type="paragraph" w:customStyle="1" w:styleId="92">
    <w:name w:val="前言大标题"/>
    <w:basedOn w:val="2"/>
    <w:link w:val="94"/>
    <w:autoRedefine/>
    <w:qFormat/>
    <w:uiPriority w:val="0"/>
    <w:pPr>
      <w:spacing w:before="0" w:after="680" w:line="283" w:lineRule="auto"/>
      <w:ind w:firstLine="200" w:firstLineChars="200"/>
      <w:jc w:val="center"/>
      <w:outlineLvl w:val="9"/>
    </w:pPr>
    <w:rPr>
      <w:rFonts w:ascii="Times New Roman" w:hAnsi="Times New Roman" w:eastAsia="黑体" w:cs="Times New Roman"/>
      <w:b w:val="0"/>
      <w:sz w:val="32"/>
    </w:rPr>
  </w:style>
  <w:style w:type="character" w:customStyle="1" w:styleId="93">
    <w:name w:val="前言标题 Char"/>
    <w:basedOn w:val="41"/>
    <w:link w:val="91"/>
    <w:autoRedefine/>
    <w:qFormat/>
    <w:uiPriority w:val="0"/>
    <w:rPr>
      <w:rFonts w:eastAsia="黑体"/>
      <w:bCs/>
      <w:kern w:val="2"/>
      <w:sz w:val="21"/>
      <w:szCs w:val="32"/>
    </w:rPr>
  </w:style>
  <w:style w:type="character" w:customStyle="1" w:styleId="94">
    <w:name w:val="前言大标题 Char"/>
    <w:link w:val="92"/>
    <w:autoRedefine/>
    <w:qFormat/>
    <w:uiPriority w:val="0"/>
    <w:rPr>
      <w:rFonts w:eastAsia="黑体"/>
      <w:bCs/>
      <w:kern w:val="44"/>
      <w:sz w:val="32"/>
      <w:szCs w:val="44"/>
    </w:rPr>
  </w:style>
  <w:style w:type="paragraph" w:customStyle="1" w:styleId="95">
    <w:name w:val="表格内"/>
    <w:basedOn w:val="1"/>
    <w:autoRedefine/>
    <w:qFormat/>
    <w:uiPriority w:val="99"/>
    <w:pPr>
      <w:widowControl/>
      <w:adjustRightInd w:val="0"/>
      <w:snapToGrid w:val="0"/>
      <w:jc w:val="center"/>
    </w:pPr>
    <w:rPr>
      <w:rFonts w:ascii="Times New Roman" w:hAnsi="Times New Roman"/>
      <w:kern w:val="0"/>
      <w:szCs w:val="20"/>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98">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9">
    <w:name w:val="章标题"/>
    <w:next w:val="1"/>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00">
    <w:name w:val="一级条标题"/>
    <w:next w:val="1"/>
    <w:autoRedefine/>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01">
    <w:name w:val="二级条标题"/>
    <w:basedOn w:val="100"/>
    <w:next w:val="1"/>
    <w:autoRedefine/>
    <w:qFormat/>
    <w:uiPriority w:val="0"/>
    <w:pPr>
      <w:numPr>
        <w:ilvl w:val="3"/>
      </w:numPr>
      <w:outlineLvl w:val="3"/>
    </w:pPr>
  </w:style>
  <w:style w:type="paragraph" w:customStyle="1" w:styleId="102">
    <w:name w:val="实施日期"/>
    <w:basedOn w:val="1"/>
    <w:autoRedefine/>
    <w:qFormat/>
    <w:uiPriority w:val="0"/>
    <w:pPr>
      <w:framePr w:w="4000" w:h="473" w:hRule="exact" w:vSpace="180" w:wrap="around" w:vAnchor="margin" w:hAnchor="margin" w:xAlign="right" w:y="13511" w:anchorLock="1"/>
      <w:widowControl/>
      <w:numPr>
        <w:ilvl w:val="4"/>
        <w:numId w:val="1"/>
      </w:numPr>
      <w:jc w:val="right"/>
    </w:pPr>
    <w:rPr>
      <w:rFonts w:ascii="Times New Roman" w:hAnsi="Times New Roman" w:eastAsia="黑体" w:cs="Times New Roman"/>
      <w:kern w:val="0"/>
      <w:sz w:val="28"/>
      <w:szCs w:val="20"/>
    </w:rPr>
  </w:style>
  <w:style w:type="paragraph" w:customStyle="1" w:styleId="103">
    <w:name w:val="图表脚注"/>
    <w:next w:val="1"/>
    <w:autoRedefine/>
    <w:qFormat/>
    <w:uiPriority w:val="0"/>
    <w:pPr>
      <w:numPr>
        <w:ilvl w:val="5"/>
        <w:numId w:val="1"/>
      </w:numPr>
      <w:ind w:left="300" w:leftChars="200" w:hanging="100" w:hangingChars="100"/>
      <w:jc w:val="both"/>
    </w:pPr>
    <w:rPr>
      <w:rFonts w:ascii="宋体" w:hAnsi="Times New Roman" w:eastAsia="宋体" w:cs="Times New Roman"/>
      <w:sz w:val="18"/>
      <w:lang w:val="en-US" w:eastAsia="zh-CN" w:bidi="ar-SA"/>
    </w:rPr>
  </w:style>
  <w:style w:type="paragraph" w:customStyle="1" w:styleId="104">
    <w:name w:val="正文表标题"/>
    <w:next w:val="1"/>
    <w:autoRedefine/>
    <w:qFormat/>
    <w:uiPriority w:val="0"/>
    <w:pPr>
      <w:numPr>
        <w:ilvl w:val="6"/>
        <w:numId w:val="1"/>
      </w:numPr>
      <w:jc w:val="center"/>
    </w:pPr>
    <w:rPr>
      <w:rFonts w:ascii="黑体" w:hAnsi="Times New Roman" w:eastAsia="黑体" w:cs="Times New Roman"/>
      <w:sz w:val="21"/>
      <w:lang w:val="en-US" w:eastAsia="zh-CN" w:bidi="ar-SA"/>
    </w:rPr>
  </w:style>
  <w:style w:type="paragraph" w:customStyle="1" w:styleId="105">
    <w:name w:val="一级无"/>
    <w:basedOn w:val="100"/>
    <w:autoRedefine/>
    <w:qFormat/>
    <w:uiPriority w:val="0"/>
    <w:pPr>
      <w:numPr>
        <w:ilvl w:val="0"/>
        <w:numId w:val="0"/>
      </w:numPr>
      <w:tabs>
        <w:tab w:val="left" w:pos="360"/>
      </w:tabs>
    </w:pPr>
    <w:rPr>
      <w:rFonts w:ascii="宋体" w:eastAsia="宋体"/>
      <w:szCs w:val="21"/>
    </w:rPr>
  </w:style>
  <w:style w:type="character" w:customStyle="1" w:styleId="106">
    <w:name w:val="Unresolved Mention"/>
    <w:basedOn w:val="4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7834</Words>
  <Characters>8579</Characters>
  <Lines>76</Lines>
  <Paragraphs>21</Paragraphs>
  <TotalTime>73</TotalTime>
  <ScaleCrop>false</ScaleCrop>
  <LinksUpToDate>false</LinksUpToDate>
  <CharactersWithSpaces>8671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2022-07-22T05:32:00Z</dcterms:created>
  <dc:creator>Meng Tang</dc:creator>
  <cp:lastModifiedBy>Dawn</cp:lastModifiedBy>
  <cp:lastPrinted>2022-08-26T10:04:00Z</cp:lastPrinted>
  <dcterms:modified xsi:type="dcterms:W3CDTF">2025-12-30T03:31:34Z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9C0016CAA1FC4E84B27E29D2F3759DCE_13</vt:lpwstr>
  </property>
  <property fmtid="{D5CDD505-2E9C-101B-9397-08002B2CF9AE}" pid="4" name="KSOTemplateDocerSaveRecord">
    <vt:lpwstr>eyJoZGlkIjoiMGYzYjJmYjk4YjVmZmY2OTJkMjU4NTIyNjk1NDQzNzQiLCJ1c2VySWQiOiI0NjA5MDM5NDkifQ==</vt:lpwstr>
  </property>
</Properties>
</file>